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130D4D"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CD34B7">
        <w:rPr>
          <w:rFonts w:ascii="Times New Roman" w:hAnsi="Times New Roman" w:cs="Times New Roman"/>
          <w:bCs/>
          <w:color w:val="000000"/>
          <w:sz w:val="24"/>
          <w:szCs w:val="24"/>
          <w:lang w:val="it-IT"/>
        </w:rPr>
        <w:t>1786</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842173">
        <w:rPr>
          <w:rFonts w:ascii="Times New Roman" w:hAnsi="Times New Roman" w:cs="Times New Roman"/>
          <w:bCs/>
          <w:color w:val="000000"/>
          <w:sz w:val="24"/>
          <w:szCs w:val="24"/>
          <w:lang w:val="sr-Latn-CS"/>
        </w:rPr>
        <w:t>66</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CD34B7">
        <w:rPr>
          <w:rFonts w:ascii="Times New Roman" w:hAnsi="Times New Roman" w:cs="Times New Roman"/>
          <w:bCs/>
          <w:color w:val="000000"/>
          <w:sz w:val="24"/>
          <w:szCs w:val="24"/>
          <w:lang w:val="it-IT"/>
        </w:rPr>
        <w:t>, 26.06.</w:t>
      </w:r>
      <w:r w:rsidR="00130D4D">
        <w:rPr>
          <w:rFonts w:ascii="Times New Roman" w:hAnsi="Times New Roman" w:cs="Times New Roman"/>
          <w:bCs/>
          <w:color w:val="000000"/>
          <w:sz w:val="24"/>
          <w:szCs w:val="24"/>
          <w:lang w:val="sr-Latn-CS"/>
        </w:rPr>
        <w:t>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75666A" w:rsidRDefault="0075666A" w:rsidP="0075666A">
      <w:pPr>
        <w:jc w:val="center"/>
        <w:rPr>
          <w:rFonts w:ascii="Times New Roman" w:hAnsi="Times New Roman" w:cs="Times New Roman"/>
          <w:b/>
          <w:color w:val="000000"/>
          <w:lang w:val="it-IT"/>
        </w:rPr>
      </w:pPr>
      <w:r w:rsidRPr="0075666A">
        <w:rPr>
          <w:rFonts w:ascii="Arial" w:hAnsi="Arial" w:cs="Arial"/>
          <w:b/>
          <w:sz w:val="24"/>
          <w:szCs w:val="24"/>
        </w:rPr>
        <w:t>za izvođenje radova na horizontalnoj signalizaciji i nabavka i ugradnja vertikalne signalizacije (saobraćajni znakovi)</w:t>
      </w: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F4779" w:rsidRPr="00EF4779" w:rsidRDefault="00505EF3">
      <w:pPr>
        <w:pStyle w:val="TOC1"/>
        <w:tabs>
          <w:tab w:val="right" w:leader="dot" w:pos="9346"/>
        </w:tabs>
        <w:rPr>
          <w:rFonts w:ascii="Times New Roman" w:eastAsiaTheme="minorEastAsia" w:hAnsi="Times New Roman" w:cs="Times New Roman"/>
          <w:noProof/>
          <w:lang w:eastAsia="en-US"/>
        </w:rPr>
      </w:pPr>
      <w:r w:rsidRPr="00505EF3">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505EF3">
        <w:rPr>
          <w:rFonts w:ascii="Times New Roman" w:hAnsi="Times New Roman" w:cs="Times New Roman"/>
          <w:color w:val="000000"/>
          <w:sz w:val="24"/>
          <w:szCs w:val="24"/>
        </w:rPr>
        <w:fldChar w:fldCharType="separate"/>
      </w:r>
      <w:hyperlink w:anchor="_Toc12006972" w:history="1">
        <w:r w:rsidR="00EF4779" w:rsidRPr="00EF4779">
          <w:rPr>
            <w:rStyle w:val="Hyperlink"/>
            <w:rFonts w:ascii="Times New Roman" w:hAnsi="Times New Roman" w:cs="Times New Roman"/>
            <w:noProof/>
          </w:rPr>
          <w:t>POZIV ZA JAVNO NADMETANJE U OTVORENOM POSTUPKU JAVNE NABAVKE</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_Toc12006972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3</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3" w:history="1">
        <w:r w:rsidR="00EF4779" w:rsidRPr="00EF4779">
          <w:rPr>
            <w:rStyle w:val="Hyperlink"/>
            <w:rFonts w:ascii="Times New Roman" w:hAnsi="Times New Roman" w:cs="Times New Roman"/>
            <w:noProof/>
          </w:rPr>
          <w:t>TEHNIČKE KARAKTERISTIKE ILI SPECIFIKACIJE PREDMETA JAVNE NABAVKE, ODNOSNO PREDMJER RADOVA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_Toc12006973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7</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4" w:history="1">
        <w:r w:rsidR="00EF4779" w:rsidRPr="00EF4779">
          <w:rPr>
            <w:rStyle w:val="Hyperlink"/>
            <w:rFonts w:ascii="Times New Roman" w:hAnsi="Times New Roman" w:cs="Times New Roman"/>
            <w:noProof/>
          </w:rPr>
          <w:t>IZJAVA NARUČIOCA DA ĆE UREDNO IZMIRIVATI OBAVEZE PREMA IZABRANOM PONUĐAČU</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_Toc12006974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10</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5" w:history="1">
        <w:r w:rsidR="00EF4779" w:rsidRPr="00EF4779">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_Toc12006975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11</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6" w:history="1">
        <w:r w:rsidR="00EF4779" w:rsidRPr="00EF4779">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_Toc12006976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12</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7" w:history="1">
        <w:r w:rsidR="00EF4779" w:rsidRPr="00EF4779">
          <w:rPr>
            <w:rStyle w:val="Hyperlink"/>
            <w:rFonts w:ascii="Times New Roman" w:hAnsi="Times New Roman" w:cs="Times New Roman"/>
            <w:noProof/>
          </w:rPr>
          <w:t>METODOLOGIJA NAČINA VREDNOVANJA PONUDA PO KRITERIJUMU I PODKRITERIJUMIMA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_Toc12006977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13</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78" w:history="1">
        <w:r w:rsidR="00EF4779" w:rsidRPr="00EF4779">
          <w:rPr>
            <w:rStyle w:val="Hyperlink"/>
            <w:rFonts w:ascii="Times New Roman" w:hAnsi="Times New Roman" w:cs="Times New Roman"/>
            <w:noProof/>
          </w:rPr>
          <w:t>OBRAZAC PONUDE SA OBRASCIMA KOJE PRIPREMA PONUĐAČ</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_Toc12006978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14</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79" w:history="1">
        <w:r w:rsidR="00EF4779" w:rsidRPr="00EF4779">
          <w:rPr>
            <w:rStyle w:val="Hyperlink"/>
            <w:rFonts w:ascii="Times New Roman" w:hAnsi="Times New Roman" w:cs="Times New Roman"/>
            <w:b/>
            <w:bCs/>
            <w:noProof/>
          </w:rPr>
          <w:t>NASLOVNA STRANA PONUDE</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_Toc12006979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15</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80" w:history="1">
        <w:r w:rsidR="00EF4779" w:rsidRPr="00EF4779">
          <w:rPr>
            <w:rStyle w:val="Hyperlink"/>
            <w:rFonts w:ascii="Times New Roman" w:hAnsi="Times New Roman" w:cs="Times New Roman"/>
            <w:noProof/>
          </w:rPr>
          <w:t>SADRŽAJ PONUDE</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_Toc12006980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16</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81" w:history="1">
        <w:r w:rsidR="00EF4779" w:rsidRPr="00EF4779">
          <w:rPr>
            <w:rStyle w:val="Hyperlink"/>
            <w:rFonts w:ascii="Times New Roman" w:hAnsi="Times New Roman" w:cs="Times New Roman"/>
            <w:noProof/>
          </w:rPr>
          <w:t>PODACI O PONUDI I PONUĐAČU</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_Toc12006981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17</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82" w:history="1">
        <w:r w:rsidR="00EF4779" w:rsidRPr="00EF4779">
          <w:rPr>
            <w:rStyle w:val="Hyperlink"/>
            <w:rFonts w:ascii="Times New Roman" w:hAnsi="Times New Roman" w:cs="Times New Roman"/>
            <w:noProof/>
          </w:rPr>
          <w:t>FINANSIJSKI DIO PONUDE</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_Toc12006982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23</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83" w:history="1">
        <w:r w:rsidR="00EF4779" w:rsidRPr="00EF4779">
          <w:rPr>
            <w:rStyle w:val="Hyperlink"/>
            <w:rFonts w:ascii="Times New Roman" w:hAnsi="Times New Roman" w:cs="Times New Roman"/>
            <w:noProof/>
          </w:rPr>
          <w:t>IZJAVA O NEPOSTOJANJU SUKOBA INTERESA NA STRANI PONUĐAČA,PODNOSIOCA ZAJEDNIČKE PONUDE, PODIZVOĐAČA /PODUGOVARAČA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_Toc12006983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24</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84" w:history="1">
        <w:r w:rsidR="00EF4779" w:rsidRPr="00EF4779">
          <w:rPr>
            <w:rStyle w:val="Hyperlink"/>
            <w:rFonts w:ascii="Times New Roman" w:hAnsi="Times New Roman" w:cs="Times New Roman"/>
            <w:noProof/>
            <w:lang w:val="sr-Latn-CS"/>
          </w:rPr>
          <w:t>DOKAZI O ISPUNJENOSTI OBAVEZNIH USLOVA ZA UČEŠĆE U POSTUPKU JAVNOG NADMETANJA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_Toc12006984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25</w:t>
        </w:r>
        <w:r w:rsidRPr="00EF4779">
          <w:rPr>
            <w:rFonts w:ascii="Times New Roman" w:hAnsi="Times New Roman" w:cs="Times New Roman"/>
            <w:noProof/>
            <w:webHidden/>
          </w:rPr>
          <w:fldChar w:fldCharType="end"/>
        </w:r>
      </w:hyperlink>
    </w:p>
    <w:p w:rsidR="00EF4779" w:rsidRPr="00EF4779" w:rsidRDefault="00505EF3">
      <w:pPr>
        <w:pStyle w:val="TOC2"/>
        <w:tabs>
          <w:tab w:val="right" w:leader="dot" w:pos="9346"/>
        </w:tabs>
        <w:rPr>
          <w:rFonts w:ascii="Times New Roman" w:eastAsiaTheme="minorEastAsia" w:hAnsi="Times New Roman" w:cs="Times New Roman"/>
          <w:noProof/>
          <w:lang w:eastAsia="en-US"/>
        </w:rPr>
      </w:pPr>
      <w:hyperlink w:anchor="_Toc12006985" w:history="1">
        <w:r w:rsidR="00EF4779" w:rsidRPr="00EF4779">
          <w:rPr>
            <w:rStyle w:val="Hyperlink"/>
            <w:rFonts w:ascii="Times New Roman" w:hAnsi="Times New Roman" w:cs="Times New Roman"/>
            <w:noProof/>
          </w:rPr>
          <w:t>DOKAZI O ISPUNJAVANJU USLOVA STRUČNO-TEHNIČKE I KADROVSKE OSPOSOBLJENOSTI</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_Toc12006985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26</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86" w:history="1">
        <w:r w:rsidR="00EF4779" w:rsidRPr="00EF4779">
          <w:rPr>
            <w:rStyle w:val="Hyperlink"/>
            <w:rFonts w:ascii="Times New Roman" w:hAnsi="Times New Roman" w:cs="Times New Roman"/>
            <w:noProof/>
          </w:rPr>
          <w:t>NACRT UGOVORA O JAVNOJ NABAVCI</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_Toc12006986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28</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89" w:history="1">
        <w:r w:rsidR="00EF4779" w:rsidRPr="00EF4779">
          <w:rPr>
            <w:rStyle w:val="Hyperlink"/>
            <w:rFonts w:ascii="Times New Roman" w:hAnsi="Times New Roman" w:cs="Times New Roman"/>
            <w:noProof/>
          </w:rPr>
          <w:t>UPUTSTVO PONUĐAČIMA ZA SAČINJAVANJE I PODNOŠENJE PONUDE</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_Toc12006989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32</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90" w:history="1">
        <w:r w:rsidR="00EF4779" w:rsidRPr="00EF4779">
          <w:rPr>
            <w:rStyle w:val="Hyperlink"/>
            <w:rFonts w:ascii="Times New Roman" w:hAnsi="Times New Roman" w:cs="Times New Roman"/>
            <w:noProof/>
          </w:rPr>
          <w:t>OVLAŠĆENJE ZA ZASTUPANJE I UČESTVOVANJE U POSTUPKU JAVNOG OTVARANJA PONUDA</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_Toc12006990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38</w:t>
        </w:r>
        <w:r w:rsidRPr="00EF4779">
          <w:rPr>
            <w:rFonts w:ascii="Times New Roman" w:hAnsi="Times New Roman" w:cs="Times New Roman"/>
            <w:noProof/>
            <w:webHidden/>
          </w:rPr>
          <w:fldChar w:fldCharType="end"/>
        </w:r>
      </w:hyperlink>
    </w:p>
    <w:p w:rsidR="00EF4779" w:rsidRPr="00EF4779" w:rsidRDefault="00505EF3">
      <w:pPr>
        <w:pStyle w:val="TOC1"/>
        <w:tabs>
          <w:tab w:val="right" w:leader="dot" w:pos="9346"/>
        </w:tabs>
        <w:rPr>
          <w:rFonts w:ascii="Times New Roman" w:eastAsiaTheme="minorEastAsia" w:hAnsi="Times New Roman" w:cs="Times New Roman"/>
          <w:noProof/>
          <w:lang w:eastAsia="en-US"/>
        </w:rPr>
      </w:pPr>
      <w:hyperlink w:anchor="_Toc12006991" w:history="1">
        <w:r w:rsidR="00EF4779" w:rsidRPr="00EF4779">
          <w:rPr>
            <w:rStyle w:val="Hyperlink"/>
            <w:rFonts w:ascii="Times New Roman" w:hAnsi="Times New Roman" w:cs="Times New Roman"/>
            <w:noProof/>
          </w:rPr>
          <w:t>UPUTSTVO O PRAVNOM SREDSTVU</w:t>
        </w:r>
        <w:r w:rsidR="00EF4779" w:rsidRPr="00EF4779">
          <w:rPr>
            <w:rFonts w:ascii="Times New Roman" w:hAnsi="Times New Roman" w:cs="Times New Roman"/>
            <w:noProof/>
            <w:webHidden/>
          </w:rPr>
          <w:tab/>
        </w:r>
        <w:r w:rsidRPr="00EF4779">
          <w:rPr>
            <w:rFonts w:ascii="Times New Roman" w:hAnsi="Times New Roman" w:cs="Times New Roman"/>
            <w:noProof/>
            <w:webHidden/>
          </w:rPr>
          <w:fldChar w:fldCharType="begin"/>
        </w:r>
        <w:r w:rsidR="00EF4779" w:rsidRPr="00EF4779">
          <w:rPr>
            <w:rFonts w:ascii="Times New Roman" w:hAnsi="Times New Roman" w:cs="Times New Roman"/>
            <w:noProof/>
            <w:webHidden/>
          </w:rPr>
          <w:instrText xml:space="preserve"> PAGEREF _Toc12006991 \h </w:instrText>
        </w:r>
        <w:r w:rsidRPr="00EF4779">
          <w:rPr>
            <w:rFonts w:ascii="Times New Roman" w:hAnsi="Times New Roman" w:cs="Times New Roman"/>
            <w:noProof/>
            <w:webHidden/>
          </w:rPr>
        </w:r>
        <w:r w:rsidRPr="00EF4779">
          <w:rPr>
            <w:rFonts w:ascii="Times New Roman" w:hAnsi="Times New Roman" w:cs="Times New Roman"/>
            <w:noProof/>
            <w:webHidden/>
          </w:rPr>
          <w:fldChar w:fldCharType="separate"/>
        </w:r>
        <w:r w:rsidR="00C80BD2">
          <w:rPr>
            <w:rFonts w:ascii="Times New Roman" w:hAnsi="Times New Roman" w:cs="Times New Roman"/>
            <w:noProof/>
            <w:webHidden/>
          </w:rPr>
          <w:t>39</w:t>
        </w:r>
        <w:r w:rsidRPr="00EF4779">
          <w:rPr>
            <w:rFonts w:ascii="Times New Roman" w:hAnsi="Times New Roman" w:cs="Times New Roman"/>
            <w:noProof/>
            <w:webHidden/>
          </w:rPr>
          <w:fldChar w:fldCharType="end"/>
        </w:r>
      </w:hyperlink>
    </w:p>
    <w:p w:rsidR="00D65C8A" w:rsidRPr="00244D00" w:rsidRDefault="00505EF3"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F4779" w:rsidP="00EF4779">
      <w:pPr>
        <w:tabs>
          <w:tab w:val="left" w:pos="3015"/>
        </w:tabs>
        <w:rPr>
          <w:rFonts w:ascii="Times New Roman" w:hAnsi="Times New Roman" w:cs="Times New Roman"/>
          <w:color w:val="000000"/>
          <w:sz w:val="24"/>
          <w:szCs w:val="24"/>
        </w:rPr>
      </w:pPr>
      <w:r>
        <w:rPr>
          <w:rFonts w:ascii="Times New Roman" w:hAnsi="Times New Roman" w:cs="Times New Roman"/>
          <w:color w:val="000000"/>
          <w:sz w:val="24"/>
          <w:szCs w:val="24"/>
        </w:rPr>
        <w:tab/>
      </w: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200697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882988">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w:t>
            </w:r>
            <w:r w:rsidR="00882988" w:rsidRPr="00882988">
              <w:rPr>
                <w:rFonts w:ascii="Times New Roman" w:hAnsi="Times New Roman" w:cs="Times New Roman"/>
                <w:sz w:val="24"/>
                <w:szCs w:val="24"/>
              </w:rPr>
              <w:t>na horizontalnoj signalizaciji i nabavka i ugradnja vertikalne signalizacije (saobraćajni znakovi)</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Default="00A77F47"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34992200-9 Saobraćajni znakovi</w:t>
            </w:r>
          </w:p>
          <w:p w:rsidR="00A77F47" w:rsidRPr="001C1748" w:rsidRDefault="00A77F47"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45233294-6 Postavljanje putne saobraćajne signalizacije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BD7109">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kao cjelina,</w:t>
      </w:r>
      <w:r w:rsidR="00D65C8A" w:rsidRPr="00852493">
        <w:rPr>
          <w:rFonts w:ascii="Times New Roman" w:hAnsi="Times New Roman" w:cs="Times New Roman"/>
          <w:color w:val="000000"/>
          <w:sz w:val="24"/>
          <w:szCs w:val="24"/>
          <w:lang w:val="pl-PL"/>
        </w:rPr>
        <w:t xml:space="preserve"> procijenjene vrijednosti sa uračunatim PDV-om </w:t>
      </w:r>
      <w:r w:rsidR="00882988">
        <w:rPr>
          <w:rFonts w:ascii="Times New Roman" w:hAnsi="Times New Roman" w:cs="Times New Roman"/>
          <w:b/>
          <w:color w:val="000000"/>
          <w:sz w:val="24"/>
          <w:szCs w:val="24"/>
          <w:lang w:val="pl-PL"/>
        </w:rPr>
        <w:t>30.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59140F" w:rsidRDefault="0059140F" w:rsidP="00EA080E">
      <w:pPr>
        <w:spacing w:after="0" w:line="240" w:lineRule="auto"/>
        <w:jc w:val="both"/>
        <w:rPr>
          <w:rFonts w:ascii="Times New Roman" w:hAnsi="Times New Roman" w:cs="Times New Roman"/>
          <w:sz w:val="24"/>
          <w:szCs w:val="24"/>
          <w:lang w:val="pl-PL"/>
        </w:rPr>
      </w:pPr>
    </w:p>
    <w:p w:rsidR="00240A3D" w:rsidRPr="00E82452" w:rsidRDefault="00240A3D" w:rsidP="00240A3D">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240A3D" w:rsidRDefault="00240A3D" w:rsidP="00240A3D">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240A3D" w:rsidRPr="00EA080E" w:rsidRDefault="00240A3D" w:rsidP="00240A3D">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240A3D" w:rsidRDefault="00240A3D" w:rsidP="00240A3D">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 – smjer saobraćajni</w:t>
      </w:r>
    </w:p>
    <w:p w:rsidR="00EA080E" w:rsidRPr="00240A3D" w:rsidRDefault="00EA080E" w:rsidP="00240A3D">
      <w:pPr>
        <w:spacing w:after="0" w:line="240" w:lineRule="auto"/>
        <w:jc w:val="both"/>
        <w:rPr>
          <w:rFonts w:ascii="Times New Roman" w:hAnsi="Times New Roman" w:cs="Times New Roman"/>
          <w:sz w:val="24"/>
          <w:szCs w:val="24"/>
          <w:lang w:val="sr-Latn-CS"/>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824E25" w:rsidRDefault="00824E25" w:rsidP="00824E2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00240A3D">
        <w:rPr>
          <w:rFonts w:ascii="Times New Roman" w:hAnsi="Times New Roman" w:cs="Times New Roman"/>
          <w:b/>
          <w:bCs/>
          <w:color w:val="000000"/>
          <w:sz w:val="24"/>
          <w:szCs w:val="24"/>
          <w:u w:val="single"/>
        </w:rPr>
        <w:t xml:space="preserve">radova </w:t>
      </w:r>
      <w:r w:rsidRPr="00852493">
        <w:rPr>
          <w:rFonts w:ascii="Times New Roman" w:hAnsi="Times New Roman" w:cs="Times New Roman"/>
          <w:b/>
          <w:bCs/>
          <w:color w:val="000000"/>
          <w:sz w:val="24"/>
          <w:szCs w:val="24"/>
        </w:rPr>
        <w:t>dokazuje se dostavljanjem sljedec</w:t>
      </w:r>
      <w:r w:rsidR="00E10DAD">
        <w:rPr>
          <w:rFonts w:ascii="Times New Roman" w:hAnsi="Times New Roman" w:cs="Times New Roman"/>
          <w:b/>
          <w:bCs/>
          <w:color w:val="000000"/>
          <w:sz w:val="24"/>
          <w:szCs w:val="24"/>
        </w:rPr>
        <w:t>eg</w:t>
      </w:r>
      <w:r w:rsidRPr="00852493">
        <w:rPr>
          <w:rFonts w:ascii="Times New Roman" w:hAnsi="Times New Roman" w:cs="Times New Roman"/>
          <w:b/>
          <w:bCs/>
          <w:color w:val="000000"/>
          <w:sz w:val="24"/>
          <w:szCs w:val="24"/>
        </w:rPr>
        <w:t xml:space="preserve"> dokaza:</w:t>
      </w:r>
    </w:p>
    <w:p w:rsidR="009A47C9" w:rsidRDefault="009A47C9" w:rsidP="00293A4F">
      <w:pPr>
        <w:spacing w:after="0" w:line="240" w:lineRule="auto"/>
        <w:jc w:val="both"/>
        <w:rPr>
          <w:rFonts w:ascii="Times New Roman" w:hAnsi="Times New Roman" w:cs="Times New Roman"/>
          <w:color w:val="000000"/>
          <w:sz w:val="24"/>
          <w:szCs w:val="24"/>
        </w:rPr>
      </w:pPr>
    </w:p>
    <w:p w:rsidR="00885030" w:rsidRDefault="00885030" w:rsidP="0088503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885030" w:rsidRPr="00464730" w:rsidRDefault="00885030"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0029009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 od dana javnog otvaranja ponuda.</w:t>
      </w:r>
    </w:p>
    <w:p w:rsidR="005746BF" w:rsidRDefault="005746BF" w:rsidP="00D65C8A">
      <w:pPr>
        <w:spacing w:after="0" w:line="240" w:lineRule="auto"/>
        <w:jc w:val="both"/>
        <w:rPr>
          <w:rFonts w:ascii="Times New Roman" w:hAnsi="Times New Roman" w:cs="Times New Roman"/>
          <w:color w:val="000000"/>
          <w:sz w:val="24"/>
          <w:szCs w:val="24"/>
        </w:rPr>
      </w:pPr>
    </w:p>
    <w:p w:rsidR="005746BF" w:rsidRDefault="005746BF" w:rsidP="00D65C8A">
      <w:pPr>
        <w:spacing w:after="0" w:line="240" w:lineRule="auto"/>
        <w:jc w:val="both"/>
        <w:rPr>
          <w:rFonts w:ascii="Times New Roman" w:hAnsi="Times New Roman" w:cs="Times New Roman"/>
          <w:color w:val="000000"/>
          <w:sz w:val="24"/>
          <w:szCs w:val="24"/>
        </w:rPr>
      </w:pP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lastRenderedPageBreak/>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3E7F55">
        <w:rPr>
          <w:rFonts w:ascii="Times New Roman" w:hAnsi="Times New Roman" w:cs="Times New Roman"/>
          <w:color w:val="000000"/>
          <w:sz w:val="24"/>
          <w:szCs w:val="24"/>
          <w:lang w:val="sr-Latn-CS"/>
        </w:rPr>
        <w:t>8</w:t>
      </w:r>
      <w:r w:rsidR="003B3359">
        <w:rPr>
          <w:rFonts w:ascii="Times New Roman" w:hAnsi="Times New Roman" w:cs="Times New Roman"/>
          <w:color w:val="000000"/>
          <w:sz w:val="24"/>
          <w:szCs w:val="24"/>
          <w:lang w:val="sr-Latn-CS"/>
        </w:rPr>
        <w:t xml:space="preserve"> </w:t>
      </w:r>
      <w:r w:rsidR="00EA080E">
        <w:rPr>
          <w:rFonts w:ascii="Times New Roman" w:hAnsi="Times New Roman" w:cs="Times New Roman"/>
          <w:color w:val="000000"/>
          <w:sz w:val="24"/>
          <w:szCs w:val="24"/>
          <w:lang w:val="sr-Latn-CS"/>
        </w:rPr>
        <w:t xml:space="preserve">kalendarskih </w:t>
      </w:r>
      <w:r w:rsidR="00EA594D">
        <w:rPr>
          <w:rFonts w:ascii="Times New Roman" w:hAnsi="Times New Roman" w:cs="Times New Roman"/>
          <w:color w:val="000000"/>
          <w:sz w:val="24"/>
          <w:szCs w:val="24"/>
          <w:lang w:val="sr-Latn-CS"/>
        </w:rPr>
        <w:t xml:space="preserve">dana od dana </w:t>
      </w:r>
      <w:r w:rsidR="00EA080E">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F2AAD" w:rsidRDefault="006F2AAD"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F2AAD">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rPr>
        <w:t xml:space="preserve">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3" w:name="OLE_LINK5"/>
      <w:bookmarkStart w:id="4"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CD34B7">
        <w:rPr>
          <w:rFonts w:ascii="Times New Roman" w:hAnsi="Times New Roman" w:cs="Times New Roman"/>
          <w:color w:val="000000"/>
          <w:sz w:val="24"/>
          <w:szCs w:val="24"/>
          <w:lang w:val="pl-PL"/>
        </w:rPr>
        <w:t>19.07.</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921A5F">
        <w:rPr>
          <w:rFonts w:ascii="Times New Roman" w:hAnsi="Times New Roman" w:cs="Times New Roman"/>
          <w:color w:val="000000"/>
          <w:sz w:val="24"/>
          <w:szCs w:val="24"/>
          <w:lang w:val="pl-PL"/>
        </w:rPr>
        <w:t>,00</w:t>
      </w:r>
      <w:r w:rsidR="001F3040">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adresi 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Pr>
          <w:rFonts w:ascii="Times New Roman" w:hAnsi="Times New Roman" w:cs="Times New Roman"/>
          <w:color w:val="000000"/>
          <w:sz w:val="24"/>
          <w:szCs w:val="24"/>
          <w:lang w:val="pl-PL"/>
        </w:rPr>
        <w:t>vlašćenog lica, održaće se dana</w:t>
      </w:r>
      <w:r w:rsidR="001F3040">
        <w:rPr>
          <w:rFonts w:ascii="Times New Roman" w:hAnsi="Times New Roman" w:cs="Times New Roman"/>
          <w:color w:val="000000"/>
          <w:sz w:val="24"/>
          <w:szCs w:val="24"/>
          <w:lang w:val="pl-PL"/>
        </w:rPr>
        <w:t xml:space="preserve"> </w:t>
      </w:r>
      <w:r w:rsidR="00CD34B7">
        <w:rPr>
          <w:rFonts w:ascii="Times New Roman" w:hAnsi="Times New Roman" w:cs="Times New Roman"/>
          <w:color w:val="000000"/>
          <w:sz w:val="24"/>
          <w:szCs w:val="24"/>
          <w:lang w:val="pl-PL"/>
        </w:rPr>
        <w:t>19.07.</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Bar,Bulevar Revolucije br. 1, mala sala.</w:t>
      </w:r>
    </w:p>
    <w:p w:rsidR="00A82B84" w:rsidRDefault="00A82B84" w:rsidP="00D458B9">
      <w:pPr>
        <w:spacing w:after="0" w:line="240" w:lineRule="auto"/>
        <w:jc w:val="both"/>
        <w:rPr>
          <w:rFonts w:ascii="Times New Roman" w:hAnsi="Times New Roman" w:cs="Times New Roman"/>
          <w:color w:val="000000"/>
          <w:sz w:val="24"/>
          <w:szCs w:val="24"/>
          <w:lang w:val="pl-PL"/>
        </w:rPr>
      </w:pPr>
    </w:p>
    <w:bookmarkEnd w:id="3"/>
    <w:bookmarkEnd w:id="4"/>
    <w:p w:rsidR="00A82B84" w:rsidRPr="00A82B84" w:rsidRDefault="00A82B84" w:rsidP="00A82B84">
      <w:pPr>
        <w:spacing w:after="0" w:line="240" w:lineRule="auto"/>
        <w:jc w:val="both"/>
        <w:rPr>
          <w:rFonts w:ascii="Times New Roman" w:hAnsi="Times New Roman" w:cs="Times New Roman"/>
          <w:b/>
          <w:sz w:val="24"/>
          <w:szCs w:val="24"/>
          <w:lang w:val="pl-PL"/>
        </w:rPr>
      </w:pPr>
      <w:r w:rsidRPr="00A82B84">
        <w:rPr>
          <w:rFonts w:ascii="Times New Roman" w:hAnsi="Times New Roman" w:cs="Times New Roman"/>
          <w:b/>
          <w:sz w:val="24"/>
          <w:szCs w:val="24"/>
          <w:lang w:val="pl-PL"/>
        </w:rPr>
        <w:t xml:space="preserve">Shodno članu 90 Zakonu o javnim nabavkama (Sl. list CG br. 42/11, 57/14 i 28/15) rok za dostavljanje ponuda u otvorenom postupku javne nabavke može se skratiti sa 37 na </w:t>
      </w:r>
      <w:r>
        <w:rPr>
          <w:rFonts w:ascii="Times New Roman" w:hAnsi="Times New Roman" w:cs="Times New Roman"/>
          <w:b/>
          <w:sz w:val="24"/>
          <w:szCs w:val="24"/>
          <w:lang w:val="pl-PL"/>
        </w:rPr>
        <w:t xml:space="preserve">najmanje </w:t>
      </w:r>
      <w:r w:rsidRPr="00A82B84">
        <w:rPr>
          <w:rFonts w:ascii="Times New Roman" w:hAnsi="Times New Roman" w:cs="Times New Roman"/>
          <w:b/>
          <w:sz w:val="24"/>
          <w:szCs w:val="24"/>
          <w:lang w:val="pl-PL"/>
        </w:rPr>
        <w:t>22 dana iz razloga hitnosti završetka istih.</w:t>
      </w:r>
    </w:p>
    <w:p w:rsidR="00A82B84" w:rsidRPr="00A82B84" w:rsidRDefault="00A82B84" w:rsidP="00A82B84">
      <w:pPr>
        <w:spacing w:after="0" w:line="240" w:lineRule="auto"/>
        <w:jc w:val="both"/>
        <w:rPr>
          <w:rFonts w:ascii="Times New Roman" w:hAnsi="Times New Roman" w:cs="Times New Roman"/>
          <w:b/>
          <w:sz w:val="24"/>
          <w:szCs w:val="24"/>
          <w:lang w:val="pl-PL"/>
        </w:rPr>
      </w:pPr>
      <w:r w:rsidRPr="00A82B84">
        <w:rPr>
          <w:rFonts w:ascii="Times New Roman" w:hAnsi="Times New Roman" w:cs="Times New Roman"/>
          <w:b/>
          <w:sz w:val="24"/>
          <w:szCs w:val="24"/>
          <w:lang w:val="pl-PL"/>
        </w:rPr>
        <w:t>Shodno ovom članu, a usled hitnosti izvođenja navedenih radova,u cilju stvaranja uslova  za nesmetano odvijanje saobracaja, rok za podnošenje ponuda se skraćuje.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421D7" w:rsidRPr="00435EDE"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240A3D"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941A4C" w:rsidRDefault="00941A4C" w:rsidP="00D65C8A">
      <w:pPr>
        <w:spacing w:after="0" w:line="240" w:lineRule="auto"/>
        <w:jc w:val="both"/>
        <w:rPr>
          <w:rFonts w:ascii="Times New Roman" w:hAnsi="Times New Roman" w:cs="Times New Roman"/>
          <w:color w:val="000000"/>
          <w:sz w:val="24"/>
          <w:szCs w:val="24"/>
          <w:lang w:val="pl-PL"/>
        </w:rPr>
      </w:pPr>
    </w:p>
    <w:p w:rsidR="00941A4C" w:rsidRDefault="00941A4C" w:rsidP="00D65C8A">
      <w:pPr>
        <w:spacing w:after="0" w:line="240" w:lineRule="auto"/>
        <w:jc w:val="both"/>
        <w:rPr>
          <w:rFonts w:ascii="Times New Roman" w:hAnsi="Times New Roman" w:cs="Times New Roman"/>
          <w:color w:val="000000"/>
          <w:sz w:val="24"/>
          <w:szCs w:val="24"/>
          <w:lang w:val="pl-PL"/>
        </w:rPr>
      </w:pPr>
    </w:p>
    <w:p w:rsidR="00CD34B7" w:rsidRDefault="00CD34B7" w:rsidP="00D65C8A">
      <w:pPr>
        <w:spacing w:after="0" w:line="240" w:lineRule="auto"/>
        <w:jc w:val="both"/>
        <w:rPr>
          <w:rFonts w:ascii="Times New Roman" w:hAnsi="Times New Roman" w:cs="Times New Roman"/>
          <w:color w:val="000000"/>
          <w:sz w:val="24"/>
          <w:szCs w:val="24"/>
          <w:lang w:val="pl-PL"/>
        </w:rPr>
      </w:pPr>
    </w:p>
    <w:p w:rsidR="00CD34B7" w:rsidRPr="00BD7109" w:rsidRDefault="00CD34B7" w:rsidP="00D65C8A">
      <w:pPr>
        <w:spacing w:after="0" w:line="240" w:lineRule="auto"/>
        <w:jc w:val="both"/>
        <w:rPr>
          <w:rFonts w:ascii="Times New Roman" w:hAnsi="Times New Roman" w:cs="Times New Roman"/>
          <w:color w:val="000000"/>
          <w:sz w:val="24"/>
          <w:szCs w:val="24"/>
          <w:lang w:val="pl-PL"/>
        </w:rPr>
      </w:pPr>
    </w:p>
    <w:p w:rsidR="00941A4C" w:rsidRDefault="00D65C8A" w:rsidP="00CD34B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B8128B" w:rsidRPr="00BD7109" w:rsidRDefault="00D65C8A" w:rsidP="008565A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bookmarkStart w:id="5" w:name="_Toc416180134"/>
    </w:p>
    <w:p w:rsidR="00B8128B" w:rsidRPr="00B8128B" w:rsidRDefault="00B8128B" w:rsidP="001F3040">
      <w:pPr>
        <w:spacing w:after="0" w:line="240" w:lineRule="auto"/>
        <w:jc w:val="both"/>
        <w:rPr>
          <w:rFonts w:ascii="Times New Roman" w:hAnsi="Times New Roman" w:cs="Times New Roman"/>
          <w:sz w:val="24"/>
          <w:szCs w:val="24"/>
        </w:rPr>
      </w:pPr>
      <w:r w:rsidRPr="00B8128B">
        <w:rPr>
          <w:rFonts w:ascii="Times New Roman" w:hAnsi="Times New Roman"/>
          <w:b/>
          <w:sz w:val="24"/>
          <w:szCs w:val="24"/>
        </w:rPr>
        <w:t>Rok  plaćanja je</w:t>
      </w:r>
      <w:r w:rsidRPr="00B8128B">
        <w:rPr>
          <w:rFonts w:ascii="Times New Roman" w:hAnsi="Times New Roman"/>
          <w:sz w:val="24"/>
          <w:szCs w:val="24"/>
        </w:rPr>
        <w:t>:</w:t>
      </w:r>
      <w:r w:rsidR="008A209F">
        <w:rPr>
          <w:rFonts w:ascii="Times New Roman" w:hAnsi="Times New Roman"/>
          <w:sz w:val="24"/>
          <w:szCs w:val="24"/>
        </w:rPr>
        <w:t xml:space="preserve"> u</w:t>
      </w:r>
      <w:r w:rsidR="001F3040">
        <w:rPr>
          <w:rFonts w:ascii="Times New Roman" w:hAnsi="Times New Roman"/>
          <w:sz w:val="24"/>
          <w:szCs w:val="24"/>
          <w:lang w:val="pl-PL"/>
        </w:rPr>
        <w:t xml:space="preserve"> </w:t>
      </w:r>
      <w:r w:rsidR="008A209F">
        <w:rPr>
          <w:rFonts w:ascii="Times New Roman" w:hAnsi="Times New Roman" w:cs="Times New Roman"/>
          <w:color w:val="000000"/>
          <w:sz w:val="24"/>
          <w:szCs w:val="24"/>
        </w:rPr>
        <w:t>roku od</w:t>
      </w:r>
      <w:r w:rsidR="008A209F" w:rsidRPr="007A289E">
        <w:rPr>
          <w:rFonts w:ascii="Times New Roman" w:hAnsi="Times New Roman" w:cs="Times New Roman"/>
          <w:color w:val="000000"/>
          <w:sz w:val="24"/>
          <w:szCs w:val="24"/>
        </w:rPr>
        <w:t xml:space="preserve"> 30 dana od dana ispostavljanja fakture</w:t>
      </w:r>
      <w:r w:rsidR="008A209F">
        <w:rPr>
          <w:rFonts w:ascii="Times New Roman" w:hAnsi="Times New Roman" w:cs="Times New Roman"/>
          <w:color w:val="000000"/>
          <w:sz w:val="24"/>
          <w:szCs w:val="24"/>
        </w:rPr>
        <w:t xml:space="preserve"> za </w:t>
      </w:r>
      <w:r w:rsidR="008A209F">
        <w:rPr>
          <w:rFonts w:ascii="Times New Roman" w:hAnsi="Times New Roman"/>
          <w:color w:val="000000"/>
          <w:sz w:val="24"/>
          <w:szCs w:val="24"/>
        </w:rPr>
        <w:t>isporučenu robu</w:t>
      </w:r>
      <w:r w:rsidR="008A209F">
        <w:rPr>
          <w:rFonts w:ascii="Times New Roman" w:hAnsi="Times New Roman" w:cs="Times New Roman"/>
          <w:color w:val="000000"/>
          <w:sz w:val="24"/>
          <w:szCs w:val="24"/>
        </w:rPr>
        <w:t>.</w:t>
      </w:r>
    </w:p>
    <w:p w:rsidR="008565AA" w:rsidRDefault="00B75235" w:rsidP="001F3040">
      <w:pPr>
        <w:spacing w:after="0" w:line="240" w:lineRule="auto"/>
        <w:jc w:val="both"/>
        <w:rPr>
          <w:rFonts w:ascii="Times New Roman" w:hAnsi="Times New Roman"/>
          <w:sz w:val="24"/>
          <w:szCs w:val="24"/>
          <w:lang w:val="pl-PL"/>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sidR="00B8128B" w:rsidRPr="00B8128B">
        <w:rPr>
          <w:rFonts w:ascii="Times New Roman" w:hAnsi="Times New Roman" w:cs="Times New Roman"/>
          <w:sz w:val="24"/>
          <w:szCs w:val="24"/>
        </w:rPr>
        <w:t>,</w:t>
      </w:r>
    </w:p>
    <w:p w:rsidR="001F3040" w:rsidRPr="00B8128B" w:rsidRDefault="001F3040" w:rsidP="001F3040">
      <w:pPr>
        <w:spacing w:after="0" w:line="240" w:lineRule="auto"/>
        <w:jc w:val="both"/>
        <w:rPr>
          <w:rFonts w:ascii="Times New Roman" w:hAnsi="Times New Roman"/>
          <w:sz w:val="24"/>
          <w:szCs w:val="24"/>
          <w:lang w:val="sv-SE"/>
        </w:rPr>
      </w:pP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sidR="002D6C8E">
        <w:rPr>
          <w:rFonts w:ascii="Times New Roman" w:hAnsi="Times New Roman" w:cs="Times New Roman"/>
          <w:color w:val="000000"/>
          <w:sz w:val="24"/>
          <w:szCs w:val="24"/>
        </w:rPr>
        <w:t>u trenutku</w:t>
      </w:r>
      <w:r w:rsidRPr="00852493">
        <w:rPr>
          <w:rFonts w:ascii="Times New Roman" w:hAnsi="Times New Roman" w:cs="Times New Roman"/>
          <w:color w:val="000000"/>
          <w:sz w:val="24"/>
          <w:szCs w:val="24"/>
        </w:rPr>
        <w:t xml:space="preserve"> zaključivanja ugovora o javnoj nabavci dostavi naručiocu:</w:t>
      </w:r>
    </w:p>
    <w:p w:rsidR="00A82B84" w:rsidRPr="00852493" w:rsidRDefault="00A82B84" w:rsidP="00B75235">
      <w:pPr>
        <w:spacing w:after="0" w:line="240" w:lineRule="auto"/>
        <w:jc w:val="both"/>
        <w:rPr>
          <w:rFonts w:ascii="Times New Roman" w:hAnsi="Times New Roman" w:cs="Times New Roman"/>
          <w:color w:val="000000"/>
          <w:sz w:val="24"/>
          <w:szCs w:val="24"/>
        </w:rPr>
      </w:pPr>
    </w:p>
    <w:p w:rsidR="00130D4D" w:rsidRPr="0016479E" w:rsidRDefault="00B75235" w:rsidP="00130D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r w:rsidR="00130D4D" w:rsidRPr="006315C3">
        <w:rPr>
          <w:rFonts w:ascii="Times New Roman" w:hAnsi="Times New Roman" w:cs="Times New Roman"/>
          <w:bCs/>
          <w:sz w:val="24"/>
          <w:szCs w:val="24"/>
          <w:lang w:val="pl-PL"/>
        </w:rPr>
        <w:t>sa rokom važnosti za vrijeme roka izvršenja Ugovora</w:t>
      </w:r>
      <w:r w:rsidR="00130D4D">
        <w:rPr>
          <w:rFonts w:ascii="Times New Roman" w:hAnsi="Times New Roman" w:cs="Times New Roman"/>
          <w:bCs/>
          <w:sz w:val="24"/>
          <w:szCs w:val="24"/>
          <w:lang w:val="pl-PL"/>
        </w:rPr>
        <w:t>, koja</w:t>
      </w:r>
      <w:r w:rsidR="001F3040">
        <w:rPr>
          <w:rFonts w:ascii="Times New Roman" w:hAnsi="Times New Roman" w:cs="Times New Roman"/>
          <w:bCs/>
          <w:sz w:val="24"/>
          <w:szCs w:val="24"/>
          <w:lang w:val="pl-PL"/>
        </w:rPr>
        <w:t xml:space="preserve"> </w:t>
      </w:r>
      <w:r w:rsidR="00130D4D" w:rsidRPr="006315C3">
        <w:rPr>
          <w:rFonts w:ascii="Times New Roman" w:hAnsi="Times New Roman" w:cs="Times New Roman"/>
          <w:bCs/>
          <w:sz w:val="24"/>
          <w:szCs w:val="24"/>
          <w:lang w:val="pl-PL"/>
        </w:rPr>
        <w:t xml:space="preserve">je bezuslovna i plativa na prvi poziv naručioca nakon nastanka razloga na koji se odnosi. </w:t>
      </w:r>
      <w:r w:rsidR="00130D4D" w:rsidRPr="0016479E">
        <w:rPr>
          <w:rFonts w:ascii="Times New Roman" w:hAnsi="Times New Roman" w:cs="Times New Roman"/>
          <w:sz w:val="24"/>
          <w:szCs w:val="24"/>
        </w:rPr>
        <w:t>Garancija mo</w:t>
      </w:r>
      <w:r w:rsidR="00130D4D">
        <w:rPr>
          <w:rFonts w:ascii="Times New Roman" w:hAnsi="Times New Roman" w:cs="Times New Roman"/>
          <w:sz w:val="24"/>
          <w:szCs w:val="24"/>
        </w:rPr>
        <w:t>že</w:t>
      </w:r>
      <w:r w:rsidR="00130D4D"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BD7109" w:rsidRDefault="00BD7109" w:rsidP="000A336C">
      <w:pPr>
        <w:pStyle w:val="ListParagraph"/>
        <w:spacing w:before="0" w:after="0" w:line="240" w:lineRule="auto"/>
        <w:ind w:left="630" w:hanging="252"/>
        <w:jc w:val="both"/>
        <w:rPr>
          <w:rFonts w:ascii="Times New Roman" w:hAnsi="Times New Roman" w:cs="Times New Roman"/>
          <w:color w:val="000000"/>
          <w:sz w:val="24"/>
          <w:szCs w:val="24"/>
        </w:rPr>
      </w:pPr>
    </w:p>
    <w:p w:rsidR="00BD7109" w:rsidRDefault="00BD7109"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F3040" w:rsidRDefault="001F3040"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791420" w:rsidRDefault="00791420"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400B9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6" w:name="_Toc491328564"/>
      <w:bookmarkStart w:id="7" w:name="_Toc12006973"/>
      <w:r w:rsidRPr="00852493">
        <w:rPr>
          <w:i w:val="0"/>
          <w:iCs w:val="0"/>
          <w:color w:val="000000"/>
          <w:u w:val="none"/>
        </w:rPr>
        <w:lastRenderedPageBreak/>
        <w:t>TEHNIČKE KARAKTERISTIKE ILI SPECIFIKACIJE PREDMETA JAVNE NABAVKE, ODNOSNO PREDMJER RADOVA</w:t>
      </w:r>
      <w:bookmarkEnd w:id="6"/>
      <w:bookmarkEnd w:id="7"/>
    </w:p>
    <w:p w:rsidR="00704142" w:rsidRPr="001542DB" w:rsidRDefault="00704142" w:rsidP="00704142">
      <w:pPr>
        <w:pStyle w:val="NoSpacing"/>
        <w:spacing w:line="20" w:lineRule="atLeast"/>
      </w:pPr>
    </w:p>
    <w:tbl>
      <w:tblPr>
        <w:tblW w:w="108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276"/>
        <w:gridCol w:w="3686"/>
        <w:gridCol w:w="992"/>
        <w:gridCol w:w="1276"/>
        <w:gridCol w:w="706"/>
        <w:gridCol w:w="144"/>
        <w:gridCol w:w="48"/>
        <w:gridCol w:w="659"/>
        <w:gridCol w:w="568"/>
        <w:gridCol w:w="710"/>
      </w:tblGrid>
      <w:tr w:rsidR="000F46BD" w:rsidRPr="00FB7D03" w:rsidTr="005746BF">
        <w:trPr>
          <w:trHeight w:val="438"/>
        </w:trPr>
        <w:tc>
          <w:tcPr>
            <w:tcW w:w="803"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0F46BD" w:rsidRPr="00FB7D03" w:rsidRDefault="000F46BD" w:rsidP="00A06865">
            <w:pPr>
              <w:spacing w:after="0" w:line="20" w:lineRule="atLeast"/>
              <w:rPr>
                <w:rFonts w:ascii="Times New Roman" w:hAnsi="Times New Roman" w:cs="Times New Roman"/>
                <w:b/>
                <w:bCs/>
                <w:lang w:val="it-IT"/>
              </w:rPr>
            </w:pPr>
          </w:p>
        </w:tc>
        <w:tc>
          <w:tcPr>
            <w:tcW w:w="127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68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2"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127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70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gridSpan w:val="3"/>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F46BD"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0F46BD" w:rsidRPr="005746BF" w:rsidRDefault="000F46BD" w:rsidP="005746BF">
            <w:pPr>
              <w:spacing w:after="0" w:line="20" w:lineRule="atLeast"/>
              <w:rPr>
                <w:rFonts w:ascii="Times New Roman" w:hAnsi="Times New Roman" w:cs="Times New Roman"/>
                <w:sz w:val="24"/>
                <w:szCs w:val="24"/>
                <w:lang w:val="it-IT"/>
              </w:rPr>
            </w:pPr>
            <w:r w:rsidRPr="005746BF">
              <w:rPr>
                <w:rFonts w:ascii="Times New Roman" w:hAnsi="Times New Roman" w:cs="Times New Roman"/>
                <w:sz w:val="24"/>
                <w:szCs w:val="24"/>
                <w:lang w:val="it-IT"/>
              </w:rPr>
              <w:t xml:space="preserve">1. </w:t>
            </w:r>
          </w:p>
        </w:tc>
        <w:tc>
          <w:tcPr>
            <w:tcW w:w="1276" w:type="dxa"/>
            <w:vMerge w:val="restart"/>
            <w:tcBorders>
              <w:top w:val="single" w:sz="4" w:space="0" w:color="auto"/>
              <w:left w:val="single" w:sz="4" w:space="0" w:color="auto"/>
              <w:right w:val="single" w:sz="4" w:space="0" w:color="auto"/>
            </w:tcBorders>
            <w:textDirection w:val="btLr"/>
            <w:vAlign w:val="center"/>
          </w:tcPr>
          <w:p w:rsidR="000F46BD" w:rsidRPr="001F3040" w:rsidRDefault="001F3040" w:rsidP="00DF299E">
            <w:pPr>
              <w:spacing w:before="240" w:after="0" w:line="20" w:lineRule="atLeast"/>
              <w:jc w:val="center"/>
              <w:rPr>
                <w:rFonts w:ascii="Times New Roman" w:hAnsi="Times New Roman" w:cs="Times New Roman"/>
                <w:b/>
                <w:szCs w:val="24"/>
              </w:rPr>
            </w:pPr>
            <w:r w:rsidRPr="001F3040">
              <w:rPr>
                <w:rFonts w:ascii="Times New Roman" w:hAnsi="Times New Roman" w:cs="Times New Roman"/>
                <w:b/>
                <w:sz w:val="24"/>
                <w:szCs w:val="24"/>
              </w:rPr>
              <w:t>izvođenje radova na horizontalnoj signalizaciji</w:t>
            </w:r>
          </w:p>
        </w:tc>
        <w:tc>
          <w:tcPr>
            <w:tcW w:w="3686" w:type="dxa"/>
            <w:tcBorders>
              <w:top w:val="single" w:sz="4" w:space="0" w:color="auto"/>
              <w:left w:val="single" w:sz="4" w:space="0" w:color="auto"/>
              <w:right w:val="single" w:sz="4" w:space="0" w:color="auto"/>
            </w:tcBorders>
          </w:tcPr>
          <w:p w:rsidR="000F46BD" w:rsidRPr="001F3040" w:rsidRDefault="001F3040" w:rsidP="00A06865">
            <w:pPr>
              <w:pStyle w:val="TableParagraph"/>
              <w:ind w:left="107"/>
              <w:jc w:val="both"/>
              <w:rPr>
                <w:sz w:val="24"/>
                <w:szCs w:val="24"/>
              </w:rPr>
            </w:pPr>
            <w:r w:rsidRPr="001F3040">
              <w:rPr>
                <w:w w:val="105"/>
                <w:sz w:val="24"/>
                <w:szCs w:val="24"/>
              </w:rPr>
              <w:t>Pune linije</w:t>
            </w:r>
            <w:r w:rsidR="00FA6049">
              <w:rPr>
                <w:w w:val="105"/>
                <w:sz w:val="24"/>
                <w:szCs w:val="24"/>
              </w:rPr>
              <w:t xml:space="preserve"> b=12cm</w:t>
            </w:r>
          </w:p>
        </w:tc>
        <w:tc>
          <w:tcPr>
            <w:tcW w:w="992" w:type="dxa"/>
            <w:tcBorders>
              <w:top w:val="single" w:sz="4" w:space="0" w:color="auto"/>
              <w:left w:val="single" w:sz="4" w:space="0" w:color="auto"/>
              <w:right w:val="single" w:sz="4" w:space="0" w:color="auto"/>
            </w:tcBorders>
          </w:tcPr>
          <w:p w:rsidR="000F46BD" w:rsidRDefault="000F46BD" w:rsidP="001F3040">
            <w:pPr>
              <w:pStyle w:val="TableParagraph"/>
              <w:ind w:right="195"/>
            </w:pPr>
            <w:r>
              <w:rPr>
                <w:w w:val="105"/>
              </w:rPr>
              <w:t>m'</w:t>
            </w:r>
          </w:p>
        </w:tc>
        <w:tc>
          <w:tcPr>
            <w:tcW w:w="1276" w:type="dxa"/>
            <w:tcBorders>
              <w:top w:val="single" w:sz="4" w:space="0" w:color="auto"/>
              <w:left w:val="single" w:sz="4" w:space="0" w:color="auto"/>
              <w:right w:val="single" w:sz="4" w:space="0" w:color="auto"/>
            </w:tcBorders>
          </w:tcPr>
          <w:p w:rsidR="000F46BD" w:rsidRDefault="00FA6049" w:rsidP="000F46BD">
            <w:pPr>
              <w:pStyle w:val="TableParagraph"/>
              <w:ind w:right="92"/>
            </w:pPr>
            <w:r>
              <w:rPr>
                <w:w w:val="110"/>
              </w:rPr>
              <w:t>12.316</w:t>
            </w:r>
          </w:p>
        </w:tc>
        <w:tc>
          <w:tcPr>
            <w:tcW w:w="706"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Pr="001F3040" w:rsidRDefault="00FA6049" w:rsidP="00963159">
            <w:pPr>
              <w:pStyle w:val="TableParagraph"/>
              <w:ind w:left="107"/>
              <w:jc w:val="both"/>
              <w:rPr>
                <w:sz w:val="24"/>
                <w:szCs w:val="24"/>
              </w:rPr>
            </w:pPr>
            <w:r>
              <w:rPr>
                <w:w w:val="105"/>
                <w:sz w:val="24"/>
                <w:szCs w:val="24"/>
              </w:rPr>
              <w:t>Isprekidane</w:t>
            </w:r>
            <w:r w:rsidRPr="001F3040">
              <w:rPr>
                <w:w w:val="105"/>
                <w:sz w:val="24"/>
                <w:szCs w:val="24"/>
              </w:rPr>
              <w:t xml:space="preserve"> linije</w:t>
            </w:r>
            <w:r>
              <w:rPr>
                <w:w w:val="105"/>
                <w:sz w:val="24"/>
                <w:szCs w:val="24"/>
              </w:rPr>
              <w:t xml:space="preserve"> b=12cm</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pPr>
            <w:r>
              <w:rPr>
                <w:w w:val="105"/>
              </w:rPr>
              <w:t>m'</w:t>
            </w:r>
          </w:p>
        </w:tc>
        <w:tc>
          <w:tcPr>
            <w:tcW w:w="1276" w:type="dxa"/>
            <w:tcBorders>
              <w:top w:val="single" w:sz="4" w:space="0" w:color="auto"/>
              <w:left w:val="single" w:sz="4" w:space="0" w:color="auto"/>
              <w:right w:val="single" w:sz="4" w:space="0" w:color="auto"/>
            </w:tcBorders>
          </w:tcPr>
          <w:p w:rsidR="00FA6049" w:rsidRDefault="00FA6049" w:rsidP="00FA6049">
            <w:pPr>
              <w:pStyle w:val="TableParagraph"/>
              <w:ind w:right="92"/>
            </w:pPr>
            <w:r>
              <w:rPr>
                <w:w w:val="110"/>
              </w:rPr>
              <w:t>18.000</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Pr="001F3040" w:rsidRDefault="00FA6049" w:rsidP="00963159">
            <w:pPr>
              <w:pStyle w:val="TableParagraph"/>
              <w:ind w:left="107"/>
              <w:jc w:val="both"/>
              <w:rPr>
                <w:w w:val="105"/>
                <w:sz w:val="24"/>
                <w:szCs w:val="24"/>
              </w:rPr>
            </w:pPr>
            <w:r>
              <w:rPr>
                <w:w w:val="105"/>
                <w:sz w:val="24"/>
                <w:szCs w:val="24"/>
              </w:rPr>
              <w:t>Pješački prelazi</w:t>
            </w:r>
          </w:p>
        </w:tc>
        <w:tc>
          <w:tcPr>
            <w:tcW w:w="992" w:type="dxa"/>
            <w:tcBorders>
              <w:top w:val="single" w:sz="4" w:space="0" w:color="auto"/>
              <w:left w:val="single" w:sz="4" w:space="0" w:color="auto"/>
              <w:right w:val="single" w:sz="4" w:space="0" w:color="auto"/>
            </w:tcBorders>
          </w:tcPr>
          <w:p w:rsidR="00FA6049" w:rsidRPr="00FA6049" w:rsidRDefault="00FA6049" w:rsidP="00963159">
            <w:pPr>
              <w:pStyle w:val="TableParagraph"/>
              <w:ind w:right="195"/>
              <w:rPr>
                <w:w w:val="105"/>
                <w:vertAlign w:val="superscript"/>
              </w:rPr>
            </w:pPr>
            <w:r>
              <w:rPr>
                <w:w w:val="105"/>
              </w:rPr>
              <w:t>m</w:t>
            </w:r>
            <w:r>
              <w:rPr>
                <w:w w:val="105"/>
                <w:vertAlign w:val="superscript"/>
              </w:rPr>
              <w:t>2</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7.703</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Pr="001F3040" w:rsidRDefault="00FA6049" w:rsidP="00FA6049">
            <w:pPr>
              <w:pStyle w:val="TableParagraph"/>
              <w:ind w:left="107"/>
              <w:jc w:val="both"/>
              <w:rPr>
                <w:sz w:val="24"/>
                <w:szCs w:val="24"/>
              </w:rPr>
            </w:pPr>
            <w:r>
              <w:rPr>
                <w:w w:val="105"/>
                <w:sz w:val="24"/>
                <w:szCs w:val="24"/>
              </w:rPr>
              <w:t xml:space="preserve">Jednosmjerne strelice </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pPr>
            <w:r>
              <w:rPr>
                <w:w w:val="105"/>
              </w:rPr>
              <w:t>kom</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224</w:t>
            </w:r>
          </w:p>
          <w:p w:rsidR="00FA6049" w:rsidRDefault="00FA6049" w:rsidP="00963159">
            <w:pPr>
              <w:pStyle w:val="TableParagraph"/>
              <w:ind w:right="92"/>
            </w:pP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5.</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Pr="001F3040" w:rsidRDefault="00FA6049" w:rsidP="00963159">
            <w:pPr>
              <w:pStyle w:val="TableParagraph"/>
              <w:ind w:left="107"/>
              <w:jc w:val="both"/>
              <w:rPr>
                <w:w w:val="105"/>
                <w:sz w:val="24"/>
                <w:szCs w:val="24"/>
              </w:rPr>
            </w:pPr>
            <w:r>
              <w:rPr>
                <w:w w:val="105"/>
                <w:sz w:val="24"/>
                <w:szCs w:val="24"/>
              </w:rPr>
              <w:t>Dvosmjerne strelice</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rPr>
                <w:w w:val="105"/>
              </w:rPr>
            </w:pPr>
            <w:r>
              <w:rPr>
                <w:w w:val="105"/>
              </w:rPr>
              <w:t>kom</w:t>
            </w:r>
          </w:p>
        </w:tc>
        <w:tc>
          <w:tcPr>
            <w:tcW w:w="1276" w:type="dxa"/>
            <w:tcBorders>
              <w:top w:val="single" w:sz="4" w:space="0" w:color="auto"/>
              <w:left w:val="single" w:sz="4" w:space="0" w:color="auto"/>
              <w:right w:val="single" w:sz="4" w:space="0" w:color="auto"/>
            </w:tcBorders>
          </w:tcPr>
          <w:p w:rsidR="00FA6049" w:rsidRDefault="00FA6049" w:rsidP="00963159">
            <w:pPr>
              <w:pStyle w:val="TableParagraph"/>
              <w:ind w:right="92"/>
              <w:rPr>
                <w:w w:val="110"/>
              </w:rPr>
            </w:pPr>
            <w:r>
              <w:rPr>
                <w:w w:val="110"/>
              </w:rPr>
              <w:t>1</w:t>
            </w:r>
            <w:r w:rsidR="00036E53">
              <w:rPr>
                <w:w w:val="110"/>
              </w:rPr>
              <w:t>56</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6.</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Default="00FA6049" w:rsidP="00963159">
            <w:pPr>
              <w:pStyle w:val="TableParagraph"/>
              <w:ind w:left="107"/>
              <w:jc w:val="both"/>
              <w:rPr>
                <w:w w:val="105"/>
                <w:sz w:val="24"/>
                <w:szCs w:val="24"/>
              </w:rPr>
            </w:pPr>
            <w:r>
              <w:rPr>
                <w:w w:val="105"/>
                <w:sz w:val="24"/>
                <w:szCs w:val="24"/>
              </w:rPr>
              <w:t>Ostrva</w:t>
            </w:r>
          </w:p>
        </w:tc>
        <w:tc>
          <w:tcPr>
            <w:tcW w:w="992" w:type="dxa"/>
            <w:tcBorders>
              <w:top w:val="single" w:sz="4" w:space="0" w:color="auto"/>
              <w:left w:val="single" w:sz="4" w:space="0" w:color="auto"/>
              <w:right w:val="single" w:sz="4" w:space="0" w:color="auto"/>
            </w:tcBorders>
          </w:tcPr>
          <w:p w:rsidR="00FA6049" w:rsidRPr="00FA6049" w:rsidRDefault="00FA6049" w:rsidP="00963159">
            <w:pPr>
              <w:pStyle w:val="TableParagraph"/>
              <w:ind w:right="195"/>
              <w:rPr>
                <w:w w:val="105"/>
                <w:vertAlign w:val="superscript"/>
              </w:rPr>
            </w:pPr>
            <w:r>
              <w:rPr>
                <w:w w:val="105"/>
              </w:rPr>
              <w:t>m</w:t>
            </w:r>
            <w:r>
              <w:rPr>
                <w:w w:val="105"/>
                <w:vertAlign w:val="superscript"/>
              </w:rPr>
              <w:t>2</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430</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7.</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Default="00FA6049" w:rsidP="00963159">
            <w:pPr>
              <w:pStyle w:val="TableParagraph"/>
              <w:ind w:left="107"/>
              <w:jc w:val="both"/>
              <w:rPr>
                <w:w w:val="105"/>
                <w:sz w:val="24"/>
                <w:szCs w:val="24"/>
              </w:rPr>
            </w:pPr>
            <w:r>
              <w:rPr>
                <w:w w:val="105"/>
                <w:sz w:val="24"/>
                <w:szCs w:val="24"/>
              </w:rPr>
              <w:t>Zaustavne linije</w:t>
            </w:r>
          </w:p>
        </w:tc>
        <w:tc>
          <w:tcPr>
            <w:tcW w:w="992" w:type="dxa"/>
            <w:tcBorders>
              <w:top w:val="single" w:sz="4" w:space="0" w:color="auto"/>
              <w:left w:val="single" w:sz="4" w:space="0" w:color="auto"/>
              <w:right w:val="single" w:sz="4" w:space="0" w:color="auto"/>
            </w:tcBorders>
          </w:tcPr>
          <w:p w:rsidR="00FA6049" w:rsidRPr="00FA6049" w:rsidRDefault="00FA6049" w:rsidP="00963159">
            <w:pPr>
              <w:pStyle w:val="TableParagraph"/>
              <w:ind w:right="195"/>
              <w:rPr>
                <w:w w:val="105"/>
                <w:vertAlign w:val="superscript"/>
              </w:rPr>
            </w:pPr>
            <w:r>
              <w:rPr>
                <w:w w:val="105"/>
              </w:rPr>
              <w:t>m</w:t>
            </w:r>
            <w:r>
              <w:rPr>
                <w:w w:val="105"/>
                <w:vertAlign w:val="superscript"/>
              </w:rPr>
              <w:t>2</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570</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Default="00FA6049" w:rsidP="00963159">
            <w:pPr>
              <w:pStyle w:val="TableParagraph"/>
              <w:ind w:left="107"/>
              <w:jc w:val="both"/>
              <w:rPr>
                <w:w w:val="105"/>
                <w:sz w:val="24"/>
                <w:szCs w:val="24"/>
              </w:rPr>
            </w:pPr>
            <w:r>
              <w:rPr>
                <w:w w:val="105"/>
                <w:sz w:val="24"/>
                <w:szCs w:val="24"/>
              </w:rPr>
              <w:t>Trouglovi mali 0.50x0.65</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rPr>
                <w:w w:val="105"/>
              </w:rPr>
            </w:pPr>
            <w:r>
              <w:rPr>
                <w:w w:val="105"/>
              </w:rPr>
              <w:t>kom</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92</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9.</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Default="00FA6049" w:rsidP="00FA6049">
            <w:pPr>
              <w:pStyle w:val="TableParagraph"/>
              <w:ind w:left="107"/>
              <w:jc w:val="both"/>
              <w:rPr>
                <w:w w:val="105"/>
                <w:sz w:val="24"/>
                <w:szCs w:val="24"/>
              </w:rPr>
            </w:pPr>
            <w:r>
              <w:rPr>
                <w:w w:val="105"/>
                <w:sz w:val="24"/>
                <w:szCs w:val="24"/>
              </w:rPr>
              <w:t>Trouglovi veliki 2.0x1.20</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rPr>
                <w:w w:val="105"/>
              </w:rPr>
            </w:pPr>
            <w:r>
              <w:rPr>
                <w:w w:val="105"/>
              </w:rPr>
              <w:t>kom</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45</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5746BF">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10.</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right w:val="single" w:sz="4" w:space="0" w:color="auto"/>
            </w:tcBorders>
          </w:tcPr>
          <w:p w:rsidR="00FA6049" w:rsidRDefault="00FA6049" w:rsidP="00FA6049">
            <w:pPr>
              <w:pStyle w:val="TableParagraph"/>
              <w:ind w:left="107"/>
              <w:jc w:val="both"/>
              <w:rPr>
                <w:w w:val="105"/>
                <w:sz w:val="24"/>
                <w:szCs w:val="24"/>
              </w:rPr>
            </w:pPr>
            <w:r>
              <w:rPr>
                <w:w w:val="105"/>
                <w:sz w:val="24"/>
                <w:szCs w:val="24"/>
              </w:rPr>
              <w:t>BUS stajališta (ispisi i traka)</w:t>
            </w:r>
          </w:p>
        </w:tc>
        <w:tc>
          <w:tcPr>
            <w:tcW w:w="992" w:type="dxa"/>
            <w:tcBorders>
              <w:top w:val="single" w:sz="4" w:space="0" w:color="auto"/>
              <w:left w:val="single" w:sz="4" w:space="0" w:color="auto"/>
              <w:right w:val="single" w:sz="4" w:space="0" w:color="auto"/>
            </w:tcBorders>
          </w:tcPr>
          <w:p w:rsidR="00FA6049" w:rsidRDefault="00FA6049" w:rsidP="00963159">
            <w:pPr>
              <w:pStyle w:val="TableParagraph"/>
              <w:ind w:right="195"/>
              <w:rPr>
                <w:w w:val="105"/>
              </w:rPr>
            </w:pPr>
            <w:r>
              <w:rPr>
                <w:w w:val="105"/>
              </w:rPr>
              <w:t>kom</w:t>
            </w:r>
          </w:p>
        </w:tc>
        <w:tc>
          <w:tcPr>
            <w:tcW w:w="1276" w:type="dxa"/>
            <w:tcBorders>
              <w:top w:val="single" w:sz="4" w:space="0" w:color="auto"/>
              <w:left w:val="single" w:sz="4" w:space="0" w:color="auto"/>
              <w:right w:val="single" w:sz="4" w:space="0" w:color="auto"/>
            </w:tcBorders>
          </w:tcPr>
          <w:p w:rsidR="00FA6049" w:rsidRDefault="00036E53" w:rsidP="00963159">
            <w:pPr>
              <w:pStyle w:val="TableParagraph"/>
              <w:ind w:right="92"/>
              <w:rPr>
                <w:w w:val="110"/>
              </w:rPr>
            </w:pPr>
            <w:r>
              <w:rPr>
                <w:w w:val="110"/>
              </w:rPr>
              <w:t>35</w:t>
            </w:r>
          </w:p>
        </w:tc>
        <w:tc>
          <w:tcPr>
            <w:tcW w:w="706"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FA6049" w:rsidRPr="00FB7D03" w:rsidTr="00F72D74">
        <w:trPr>
          <w:cantSplit/>
          <w:trHeight w:val="433"/>
        </w:trPr>
        <w:tc>
          <w:tcPr>
            <w:tcW w:w="803" w:type="dxa"/>
            <w:tcBorders>
              <w:top w:val="single" w:sz="4" w:space="0" w:color="auto"/>
              <w:left w:val="single" w:sz="4" w:space="0" w:color="auto"/>
              <w:bottom w:val="single" w:sz="4" w:space="0" w:color="auto"/>
              <w:right w:val="single" w:sz="4" w:space="0" w:color="auto"/>
            </w:tcBorders>
          </w:tcPr>
          <w:p w:rsidR="00FA6049" w:rsidRPr="005746BF" w:rsidRDefault="005746BF" w:rsidP="005746BF">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11.</w:t>
            </w:r>
          </w:p>
        </w:tc>
        <w:tc>
          <w:tcPr>
            <w:tcW w:w="1276" w:type="dxa"/>
            <w:vMerge/>
            <w:tcBorders>
              <w:top w:val="single" w:sz="4" w:space="0" w:color="auto"/>
              <w:left w:val="single" w:sz="4" w:space="0" w:color="auto"/>
              <w:right w:val="single" w:sz="4" w:space="0" w:color="auto"/>
            </w:tcBorders>
            <w:textDirection w:val="btLr"/>
            <w:vAlign w:val="center"/>
          </w:tcPr>
          <w:p w:rsidR="00FA6049" w:rsidRPr="001F3040" w:rsidRDefault="00FA6049" w:rsidP="00A06865">
            <w:pPr>
              <w:spacing w:after="0" w:line="20" w:lineRule="atLeast"/>
              <w:jc w:val="center"/>
              <w:rPr>
                <w:rFonts w:ascii="Times New Roman" w:hAnsi="Times New Roman" w:cs="Times New Roman"/>
                <w:b/>
                <w:sz w:val="24"/>
                <w:szCs w:val="24"/>
              </w:rPr>
            </w:pPr>
          </w:p>
        </w:tc>
        <w:tc>
          <w:tcPr>
            <w:tcW w:w="3686" w:type="dxa"/>
            <w:tcBorders>
              <w:top w:val="single" w:sz="4" w:space="0" w:color="auto"/>
              <w:left w:val="single" w:sz="4" w:space="0" w:color="auto"/>
              <w:bottom w:val="thinThickSmallGap" w:sz="24" w:space="0" w:color="auto"/>
              <w:right w:val="single" w:sz="4" w:space="0" w:color="auto"/>
            </w:tcBorders>
          </w:tcPr>
          <w:p w:rsidR="00FA6049" w:rsidRDefault="00FA6049" w:rsidP="00FA6049">
            <w:pPr>
              <w:pStyle w:val="TableParagraph"/>
              <w:ind w:left="107"/>
              <w:jc w:val="both"/>
              <w:rPr>
                <w:w w:val="105"/>
                <w:sz w:val="24"/>
                <w:szCs w:val="24"/>
              </w:rPr>
            </w:pPr>
            <w:r>
              <w:rPr>
                <w:w w:val="105"/>
                <w:sz w:val="24"/>
                <w:szCs w:val="24"/>
              </w:rPr>
              <w:t>TAXI stajališta (ispisi i traka)</w:t>
            </w:r>
          </w:p>
        </w:tc>
        <w:tc>
          <w:tcPr>
            <w:tcW w:w="992" w:type="dxa"/>
            <w:tcBorders>
              <w:top w:val="single" w:sz="4" w:space="0" w:color="auto"/>
              <w:left w:val="single" w:sz="4" w:space="0" w:color="auto"/>
              <w:bottom w:val="thinThickSmallGap" w:sz="24" w:space="0" w:color="auto"/>
              <w:right w:val="single" w:sz="4" w:space="0" w:color="auto"/>
            </w:tcBorders>
          </w:tcPr>
          <w:p w:rsidR="00FA6049" w:rsidRDefault="00FA6049" w:rsidP="00963159">
            <w:pPr>
              <w:pStyle w:val="TableParagraph"/>
              <w:ind w:right="195"/>
              <w:rPr>
                <w:w w:val="105"/>
              </w:rPr>
            </w:pPr>
            <w:r>
              <w:rPr>
                <w:w w:val="105"/>
              </w:rPr>
              <w:t>kom</w:t>
            </w:r>
          </w:p>
        </w:tc>
        <w:tc>
          <w:tcPr>
            <w:tcW w:w="1276" w:type="dxa"/>
            <w:tcBorders>
              <w:top w:val="single" w:sz="4" w:space="0" w:color="auto"/>
              <w:left w:val="single" w:sz="4" w:space="0" w:color="auto"/>
              <w:bottom w:val="thinThickSmallGap" w:sz="24" w:space="0" w:color="auto"/>
              <w:right w:val="single" w:sz="4" w:space="0" w:color="auto"/>
            </w:tcBorders>
          </w:tcPr>
          <w:p w:rsidR="00FA6049" w:rsidRDefault="00036E53" w:rsidP="00963159">
            <w:pPr>
              <w:pStyle w:val="TableParagraph"/>
              <w:ind w:right="92"/>
              <w:rPr>
                <w:w w:val="110"/>
              </w:rPr>
            </w:pPr>
            <w:r>
              <w:rPr>
                <w:w w:val="110"/>
              </w:rPr>
              <w:t>50</w:t>
            </w:r>
          </w:p>
        </w:tc>
        <w:tc>
          <w:tcPr>
            <w:tcW w:w="706" w:type="dxa"/>
            <w:tcBorders>
              <w:top w:val="single" w:sz="4" w:space="0" w:color="auto"/>
              <w:left w:val="single" w:sz="4" w:space="0" w:color="auto"/>
              <w:bottom w:val="thinThickSmallGap" w:sz="2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851" w:type="dxa"/>
            <w:gridSpan w:val="3"/>
            <w:tcBorders>
              <w:top w:val="single" w:sz="4" w:space="0" w:color="auto"/>
              <w:left w:val="single" w:sz="4" w:space="0" w:color="auto"/>
              <w:bottom w:val="thinThickSmallGap" w:sz="2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thinThickSmallGap" w:sz="2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thinThickSmallGap" w:sz="24" w:space="0" w:color="auto"/>
              <w:right w:val="single" w:sz="4" w:space="0" w:color="auto"/>
            </w:tcBorders>
          </w:tcPr>
          <w:p w:rsidR="00FA6049" w:rsidRPr="00FB7D03" w:rsidRDefault="00FA6049" w:rsidP="00A06865">
            <w:pPr>
              <w:spacing w:after="0" w:line="20" w:lineRule="atLeast"/>
              <w:jc w:val="center"/>
              <w:rPr>
                <w:rFonts w:ascii="Times New Roman" w:hAnsi="Times New Roman" w:cs="Times New Roman"/>
                <w:sz w:val="24"/>
                <w:szCs w:val="24"/>
                <w:lang w:val="it-IT"/>
              </w:rPr>
            </w:pPr>
          </w:p>
        </w:tc>
      </w:tr>
      <w:tr w:rsidR="000F46BD" w:rsidRPr="00FB7D03" w:rsidTr="00F72D74">
        <w:tc>
          <w:tcPr>
            <w:tcW w:w="803" w:type="dxa"/>
            <w:tcBorders>
              <w:top w:val="single" w:sz="4" w:space="0" w:color="auto"/>
              <w:left w:val="single" w:sz="4" w:space="0" w:color="auto"/>
              <w:bottom w:val="single" w:sz="4" w:space="0" w:color="auto"/>
              <w:right w:val="single" w:sz="4" w:space="0" w:color="auto"/>
            </w:tcBorders>
            <w:vAlign w:val="center"/>
          </w:tcPr>
          <w:p w:rsidR="000F46BD" w:rsidRPr="005746BF" w:rsidRDefault="000F46BD" w:rsidP="005746BF">
            <w:pPr>
              <w:spacing w:after="0" w:line="20" w:lineRule="atLeast"/>
              <w:jc w:val="center"/>
              <w:rPr>
                <w:rFonts w:ascii="Times New Roman" w:hAnsi="Times New Roman" w:cs="Times New Roman"/>
                <w:sz w:val="24"/>
                <w:szCs w:val="24"/>
                <w:lang w:val="it-IT"/>
              </w:rPr>
            </w:pPr>
          </w:p>
        </w:tc>
        <w:tc>
          <w:tcPr>
            <w:tcW w:w="1276" w:type="dxa"/>
            <w:vMerge/>
            <w:tcBorders>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rPr>
            </w:pPr>
          </w:p>
        </w:tc>
        <w:tc>
          <w:tcPr>
            <w:tcW w:w="8789" w:type="dxa"/>
            <w:gridSpan w:val="9"/>
            <w:tcBorders>
              <w:top w:val="thinThickSmallGap" w:sz="24" w:space="0" w:color="auto"/>
              <w:left w:val="single" w:sz="4" w:space="0" w:color="auto"/>
              <w:bottom w:val="thinThickSmallGap" w:sz="24" w:space="0" w:color="auto"/>
              <w:right w:val="single" w:sz="4" w:space="0" w:color="auto"/>
            </w:tcBorders>
            <w:vAlign w:val="center"/>
          </w:tcPr>
          <w:p w:rsidR="000F46BD" w:rsidRPr="00FB7D03" w:rsidRDefault="000F46BD" w:rsidP="00FA6049">
            <w:pPr>
              <w:spacing w:after="0" w:line="20" w:lineRule="atLeast"/>
              <w:jc w:val="center"/>
              <w:rPr>
                <w:rFonts w:ascii="Times New Roman" w:hAnsi="Times New Roman" w:cs="Times New Roman"/>
                <w:sz w:val="24"/>
                <w:szCs w:val="24"/>
                <w:lang w:val="it-IT"/>
              </w:rPr>
            </w:pPr>
            <w:r w:rsidRPr="00E96BC9">
              <w:rPr>
                <w:rFonts w:ascii="Times New Roman" w:hAnsi="Times New Roman" w:cs="Times New Roman"/>
                <w:b/>
                <w:sz w:val="24"/>
                <w:szCs w:val="24"/>
              </w:rPr>
              <w:t xml:space="preserve">UKUPNO </w:t>
            </w:r>
          </w:p>
        </w:tc>
      </w:tr>
      <w:tr w:rsidR="00DF299E" w:rsidRPr="002E6C18" w:rsidTr="00F72D74">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val="restart"/>
            <w:tcBorders>
              <w:left w:val="single" w:sz="4" w:space="0" w:color="auto"/>
              <w:right w:val="single" w:sz="4" w:space="0" w:color="auto"/>
            </w:tcBorders>
            <w:vAlign w:val="center"/>
          </w:tcPr>
          <w:p w:rsidR="00DF299E" w:rsidRPr="002E6C18" w:rsidRDefault="00DF299E" w:rsidP="006D3A1B">
            <w:pPr>
              <w:spacing w:after="0" w:line="20" w:lineRule="atLeast"/>
              <w:jc w:val="center"/>
              <w:rPr>
                <w:rFonts w:ascii="Times New Roman" w:hAnsi="Times New Roman" w:cs="Times New Roman"/>
                <w:sz w:val="24"/>
                <w:szCs w:val="24"/>
              </w:rPr>
            </w:pPr>
            <w:r>
              <w:rPr>
                <w:rFonts w:ascii="Times New Roman" w:hAnsi="Times New Roman" w:cs="Times New Roman"/>
                <w:b/>
                <w:sz w:val="24"/>
                <w:szCs w:val="24"/>
              </w:rPr>
              <w:t>Nabavka i ugradnja vertikalne signalizacije (saobraćajni znakovi)</w:t>
            </w:r>
          </w:p>
        </w:tc>
        <w:tc>
          <w:tcPr>
            <w:tcW w:w="3686" w:type="dxa"/>
            <w:tcBorders>
              <w:top w:val="thinThickSmallGap" w:sz="24" w:space="0" w:color="auto"/>
              <w:left w:val="single" w:sz="4" w:space="0" w:color="auto"/>
              <w:bottom w:val="single" w:sz="4" w:space="0" w:color="auto"/>
              <w:right w:val="single" w:sz="4" w:space="0" w:color="auto"/>
            </w:tcBorders>
          </w:tcPr>
          <w:p w:rsidR="00DF299E" w:rsidRDefault="00DF299E" w:rsidP="00A06865">
            <w:pPr>
              <w:pStyle w:val="TableParagraph"/>
              <w:spacing w:line="234" w:lineRule="exact"/>
              <w:ind w:left="107"/>
              <w:jc w:val="both"/>
            </w:pPr>
            <w:r>
              <w:rPr>
                <w:color w:val="000000"/>
              </w:rPr>
              <w:t>II-34 Ø 600</w:t>
            </w:r>
          </w:p>
        </w:tc>
        <w:tc>
          <w:tcPr>
            <w:tcW w:w="992" w:type="dxa"/>
            <w:tcBorders>
              <w:top w:val="thinThickSmallGap" w:sz="2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kom</w:t>
            </w:r>
          </w:p>
        </w:tc>
        <w:tc>
          <w:tcPr>
            <w:tcW w:w="1276" w:type="dxa"/>
            <w:tcBorders>
              <w:top w:val="thinThickSmallGap" w:sz="2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10</w:t>
            </w:r>
          </w:p>
        </w:tc>
        <w:tc>
          <w:tcPr>
            <w:tcW w:w="850" w:type="dxa"/>
            <w:gridSpan w:val="2"/>
            <w:tcBorders>
              <w:top w:val="thinThickSmallGap" w:sz="2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thinThickSmallGap" w:sz="2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thinThickSmallGap" w:sz="2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thinThickSmallGap" w:sz="2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spacing w:line="234" w:lineRule="exact"/>
              <w:ind w:left="107"/>
              <w:jc w:val="both"/>
            </w:pPr>
            <w:r>
              <w:t xml:space="preserve">II-2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spacing w:line="234" w:lineRule="exact"/>
              <w:ind w:left="107"/>
              <w:jc w:val="both"/>
            </w:pPr>
            <w:r>
              <w:rPr>
                <w:color w:val="000000"/>
              </w:rPr>
              <w:t>II-30 Ø 600 ...40 km/h</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rPr>
                <w:color w:val="000000"/>
              </w:rPr>
              <w:t>II-30 Ø 600 ...50 km/h</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spacing w:line="234" w:lineRule="exact"/>
              <w:ind w:left="107"/>
              <w:jc w:val="both"/>
            </w:pPr>
            <w:r>
              <w:rPr>
                <w:color w:val="000000"/>
              </w:rPr>
              <w:t>III-6  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rPr>
                <w:color w:val="000000"/>
              </w:rPr>
              <w:t>III-32  Ø 600 za putnička vozila</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spacing w:line="234" w:lineRule="exact"/>
              <w:ind w:left="107"/>
              <w:jc w:val="both"/>
            </w:pPr>
            <w:r>
              <w:t xml:space="preserve">II-45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A06865">
            <w:pPr>
              <w:pStyle w:val="TableParagraph"/>
              <w:rPr>
                <w:sz w:val="24"/>
              </w:rPr>
            </w:pPr>
            <w:r>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II-45.1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II-45.2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9</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II-45.2 </w:t>
            </w:r>
            <w:r>
              <w:rPr>
                <w:color w:val="000000"/>
              </w:rPr>
              <w:t>Ø 900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15</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I-1</w:t>
            </w:r>
            <w:r w:rsidR="00897DD4">
              <w:t>.1</w:t>
            </w:r>
            <w:r>
              <w:t xml:space="preserve">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6B76D9">
            <w:pPr>
              <w:pStyle w:val="TableParagraph"/>
              <w:spacing w:line="234" w:lineRule="exact"/>
              <w:ind w:left="107"/>
              <w:jc w:val="both"/>
            </w:pPr>
            <w:r>
              <w:t xml:space="preserve">II-26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II-26.1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73449E">
            <w:pPr>
              <w:pStyle w:val="TableParagraph"/>
              <w:spacing w:line="234" w:lineRule="exact"/>
              <w:ind w:left="107"/>
              <w:jc w:val="both"/>
            </w:pPr>
            <w:r>
              <w:t xml:space="preserve">II-43.3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II-43.4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73449E">
            <w:pPr>
              <w:pStyle w:val="TableParagraph"/>
              <w:spacing w:line="234" w:lineRule="exact"/>
              <w:ind w:left="107"/>
              <w:jc w:val="both"/>
            </w:pPr>
            <w:r>
              <w:t xml:space="preserve">III-2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spacing w:line="234" w:lineRule="exact"/>
              <w:ind w:left="107"/>
              <w:jc w:val="both"/>
            </w:pPr>
            <w:r>
              <w:t xml:space="preserve">II-4 </w:t>
            </w:r>
            <w:r>
              <w:rPr>
                <w:color w:val="000000"/>
              </w:rPr>
              <w:t>Ø 600</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5746BF">
        <w:tc>
          <w:tcPr>
            <w:tcW w:w="803" w:type="dxa"/>
            <w:tcBorders>
              <w:top w:val="single" w:sz="4" w:space="0" w:color="auto"/>
              <w:left w:val="single" w:sz="4" w:space="0" w:color="auto"/>
              <w:bottom w:val="single" w:sz="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F299E" w:rsidRDefault="00DF299E" w:rsidP="00241FC1">
            <w:pPr>
              <w:pStyle w:val="TableParagraph"/>
              <w:spacing w:line="234" w:lineRule="exact"/>
              <w:ind w:left="107"/>
              <w:jc w:val="both"/>
            </w:pPr>
            <w:r>
              <w:t xml:space="preserve">IV-1 </w:t>
            </w:r>
            <w:r>
              <w:rPr>
                <w:color w:val="000000"/>
              </w:rPr>
              <w:t>400x200mm (bez oznaka)</w:t>
            </w:r>
          </w:p>
        </w:tc>
        <w:tc>
          <w:tcPr>
            <w:tcW w:w="992"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F299E" w:rsidRDefault="00DF299E" w:rsidP="00270567">
            <w:pPr>
              <w:pStyle w:val="TableParagraph"/>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F299E" w:rsidRPr="002E6C18" w:rsidTr="00DC6025">
        <w:tc>
          <w:tcPr>
            <w:tcW w:w="803" w:type="dxa"/>
            <w:tcBorders>
              <w:top w:val="single" w:sz="4" w:space="0" w:color="auto"/>
              <w:left w:val="single" w:sz="4" w:space="0" w:color="auto"/>
              <w:bottom w:val="thinThickSmallGap" w:sz="24" w:space="0" w:color="auto"/>
              <w:right w:val="single" w:sz="4" w:space="0" w:color="auto"/>
            </w:tcBorders>
          </w:tcPr>
          <w:p w:rsidR="00DF299E" w:rsidRPr="00DC6025" w:rsidRDefault="00DF299E" w:rsidP="00DC6025">
            <w:pPr>
              <w:pStyle w:val="ListParagraph"/>
              <w:numPr>
                <w:ilvl w:val="0"/>
                <w:numId w:val="47"/>
              </w:numPr>
              <w:spacing w:after="0" w:line="20" w:lineRule="atLeast"/>
              <w:rPr>
                <w:rFonts w:ascii="Times New Roman" w:hAnsi="Times New Roman" w:cs="Times New Roman"/>
                <w:sz w:val="24"/>
                <w:szCs w:val="24"/>
                <w:lang w:val="it-IT"/>
              </w:rPr>
            </w:pPr>
          </w:p>
        </w:tc>
        <w:tc>
          <w:tcPr>
            <w:tcW w:w="1276" w:type="dxa"/>
            <w:vMerge/>
            <w:tcBorders>
              <w:left w:val="single" w:sz="4" w:space="0" w:color="auto"/>
              <w:bottom w:val="thinThickSmallGap" w:sz="24" w:space="0" w:color="auto"/>
              <w:right w:val="single" w:sz="4" w:space="0" w:color="auto"/>
            </w:tcBorders>
          </w:tcPr>
          <w:p w:rsidR="00DF299E" w:rsidRPr="002E6C18" w:rsidRDefault="00DF299E"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thinThickSmallGap" w:sz="24" w:space="0" w:color="auto"/>
              <w:right w:val="single" w:sz="4" w:space="0" w:color="auto"/>
            </w:tcBorders>
          </w:tcPr>
          <w:p w:rsidR="00DF299E" w:rsidRDefault="00DF299E" w:rsidP="00270567">
            <w:pPr>
              <w:pStyle w:val="TableParagraph"/>
              <w:spacing w:line="234" w:lineRule="exact"/>
              <w:ind w:left="107"/>
              <w:jc w:val="both"/>
            </w:pPr>
            <w:r>
              <w:t xml:space="preserve">II-1 </w:t>
            </w:r>
            <w:r>
              <w:rPr>
                <w:color w:val="000000"/>
              </w:rPr>
              <w:t>Ø 900</w:t>
            </w:r>
          </w:p>
        </w:tc>
        <w:tc>
          <w:tcPr>
            <w:tcW w:w="992" w:type="dxa"/>
            <w:tcBorders>
              <w:top w:val="single" w:sz="4" w:space="0" w:color="auto"/>
              <w:left w:val="single" w:sz="4" w:space="0" w:color="auto"/>
              <w:bottom w:val="thinThickSmallGap" w:sz="24" w:space="0" w:color="auto"/>
              <w:right w:val="single" w:sz="4" w:space="0" w:color="auto"/>
            </w:tcBorders>
          </w:tcPr>
          <w:p w:rsidR="00DF299E" w:rsidRDefault="00DF299E" w:rsidP="00270567">
            <w:pPr>
              <w:pStyle w:val="TableParagraph"/>
              <w:rPr>
                <w:sz w:val="24"/>
              </w:rPr>
            </w:pPr>
            <w:r>
              <w:rPr>
                <w:sz w:val="24"/>
              </w:rPr>
              <w:t>kom</w:t>
            </w:r>
          </w:p>
        </w:tc>
        <w:tc>
          <w:tcPr>
            <w:tcW w:w="1276" w:type="dxa"/>
            <w:tcBorders>
              <w:top w:val="single" w:sz="4" w:space="0" w:color="auto"/>
              <w:left w:val="single" w:sz="4" w:space="0" w:color="auto"/>
              <w:bottom w:val="thinThickSmallGap" w:sz="24" w:space="0" w:color="auto"/>
              <w:right w:val="single" w:sz="4" w:space="0" w:color="auto"/>
            </w:tcBorders>
          </w:tcPr>
          <w:p w:rsidR="00DF299E" w:rsidRDefault="00DF299E" w:rsidP="00270567">
            <w:pPr>
              <w:pStyle w:val="TableParagraph"/>
              <w:rPr>
                <w:sz w:val="24"/>
              </w:rPr>
            </w:pPr>
            <w:r>
              <w:rPr>
                <w:sz w:val="24"/>
              </w:rPr>
              <w:t>10</w:t>
            </w:r>
          </w:p>
        </w:tc>
        <w:tc>
          <w:tcPr>
            <w:tcW w:w="850" w:type="dxa"/>
            <w:gridSpan w:val="2"/>
            <w:tcBorders>
              <w:top w:val="single" w:sz="4" w:space="0" w:color="auto"/>
              <w:left w:val="single" w:sz="4" w:space="0" w:color="auto"/>
              <w:bottom w:val="thinThickSmallGap" w:sz="2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thinThickSmallGap" w:sz="2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thinThickSmallGap" w:sz="2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thinThickSmallGap" w:sz="24" w:space="0" w:color="auto"/>
              <w:right w:val="single" w:sz="4" w:space="0" w:color="auto"/>
            </w:tcBorders>
          </w:tcPr>
          <w:p w:rsidR="00DF299E" w:rsidRPr="002E6C18" w:rsidRDefault="00DF299E" w:rsidP="00A06865">
            <w:pPr>
              <w:spacing w:after="0" w:line="20" w:lineRule="atLeast"/>
              <w:jc w:val="center"/>
              <w:rPr>
                <w:rFonts w:ascii="Times New Roman" w:hAnsi="Times New Roman" w:cs="Times New Roman"/>
                <w:sz w:val="24"/>
                <w:szCs w:val="24"/>
                <w:lang w:val="it-IT"/>
              </w:rPr>
            </w:pPr>
          </w:p>
        </w:tc>
      </w:tr>
      <w:tr w:rsidR="00DC6025" w:rsidRPr="002E6C18" w:rsidTr="00270567">
        <w:tc>
          <w:tcPr>
            <w:tcW w:w="8883" w:type="dxa"/>
            <w:gridSpan w:val="7"/>
            <w:tcBorders>
              <w:top w:val="single" w:sz="4" w:space="0" w:color="auto"/>
              <w:left w:val="single" w:sz="4" w:space="0" w:color="auto"/>
              <w:bottom w:val="thinThickSmallGap" w:sz="24" w:space="0" w:color="auto"/>
              <w:right w:val="single" w:sz="4" w:space="0" w:color="auto"/>
            </w:tcBorders>
          </w:tcPr>
          <w:p w:rsidR="00DC6025" w:rsidRPr="00DC6025" w:rsidRDefault="00DC6025" w:rsidP="00A06865">
            <w:pPr>
              <w:spacing w:after="0" w:line="20" w:lineRule="atLeast"/>
              <w:jc w:val="center"/>
              <w:rPr>
                <w:rFonts w:ascii="Times New Roman" w:hAnsi="Times New Roman" w:cs="Times New Roman"/>
                <w:b/>
                <w:sz w:val="24"/>
                <w:szCs w:val="24"/>
                <w:lang w:val="it-IT"/>
              </w:rPr>
            </w:pPr>
            <w:r w:rsidRPr="00DC6025">
              <w:rPr>
                <w:rFonts w:ascii="Times New Roman" w:hAnsi="Times New Roman" w:cs="Times New Roman"/>
                <w:b/>
                <w:sz w:val="24"/>
                <w:szCs w:val="24"/>
              </w:rPr>
              <w:t>UKUPNO</w:t>
            </w:r>
          </w:p>
        </w:tc>
        <w:tc>
          <w:tcPr>
            <w:tcW w:w="707" w:type="dxa"/>
            <w:gridSpan w:val="2"/>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DC6025" w:rsidRPr="002E6C18" w:rsidTr="00DC6025">
        <w:tc>
          <w:tcPr>
            <w:tcW w:w="803" w:type="dxa"/>
            <w:tcBorders>
              <w:top w:val="thinThickSmallGap" w:sz="24" w:space="0" w:color="auto"/>
              <w:left w:val="single" w:sz="4" w:space="0" w:color="auto"/>
              <w:bottom w:val="single" w:sz="4" w:space="0" w:color="auto"/>
              <w:right w:val="single" w:sz="4" w:space="0" w:color="auto"/>
            </w:tcBorders>
          </w:tcPr>
          <w:p w:rsidR="00DC6025" w:rsidRPr="00DC6025" w:rsidRDefault="00DC6025" w:rsidP="00DC6025">
            <w:pPr>
              <w:pStyle w:val="ListParagraph"/>
              <w:numPr>
                <w:ilvl w:val="0"/>
                <w:numId w:val="48"/>
              </w:numPr>
              <w:spacing w:after="0" w:line="20" w:lineRule="atLeast"/>
              <w:rPr>
                <w:rFonts w:ascii="Times New Roman" w:hAnsi="Times New Roman" w:cs="Times New Roman"/>
                <w:sz w:val="24"/>
                <w:szCs w:val="24"/>
                <w:lang w:val="it-IT"/>
              </w:rPr>
            </w:pPr>
          </w:p>
        </w:tc>
        <w:tc>
          <w:tcPr>
            <w:tcW w:w="1276" w:type="dxa"/>
            <w:vMerge w:val="restart"/>
            <w:tcBorders>
              <w:top w:val="thinThickSmallGap" w:sz="24" w:space="0" w:color="auto"/>
              <w:left w:val="single" w:sz="4" w:space="0" w:color="auto"/>
              <w:right w:val="single" w:sz="4" w:space="0" w:color="auto"/>
            </w:tcBorders>
            <w:vAlign w:val="center"/>
          </w:tcPr>
          <w:p w:rsidR="00DC6025" w:rsidRPr="00DC6025" w:rsidRDefault="00DC6025" w:rsidP="00DC6025">
            <w:pPr>
              <w:spacing w:after="0" w:line="20" w:lineRule="atLeast"/>
              <w:jc w:val="center"/>
              <w:rPr>
                <w:rFonts w:ascii="Times New Roman" w:hAnsi="Times New Roman" w:cs="Times New Roman"/>
                <w:b/>
                <w:sz w:val="24"/>
                <w:szCs w:val="24"/>
              </w:rPr>
            </w:pPr>
            <w:r w:rsidRPr="00DC6025">
              <w:rPr>
                <w:rFonts w:ascii="Times New Roman" w:hAnsi="Times New Roman" w:cs="Times New Roman"/>
                <w:b/>
                <w:sz w:val="24"/>
                <w:szCs w:val="24"/>
              </w:rPr>
              <w:t>Saobraćajni stubovi</w:t>
            </w:r>
          </w:p>
        </w:tc>
        <w:tc>
          <w:tcPr>
            <w:tcW w:w="3686" w:type="dxa"/>
            <w:tcBorders>
              <w:top w:val="thinThickSmallGap" w:sz="24" w:space="0" w:color="auto"/>
              <w:left w:val="single" w:sz="4" w:space="0" w:color="auto"/>
              <w:bottom w:val="single" w:sz="4" w:space="0" w:color="auto"/>
              <w:right w:val="single" w:sz="4" w:space="0" w:color="auto"/>
            </w:tcBorders>
          </w:tcPr>
          <w:p w:rsidR="00DC6025" w:rsidRDefault="00DC6025" w:rsidP="00270567">
            <w:pPr>
              <w:pStyle w:val="TableParagraph"/>
              <w:spacing w:line="234" w:lineRule="exact"/>
              <w:ind w:left="107"/>
              <w:jc w:val="both"/>
            </w:pPr>
            <w:r w:rsidRPr="00DF299E">
              <w:rPr>
                <w:bCs/>
                <w:sz w:val="24"/>
                <w:szCs w:val="24"/>
              </w:rPr>
              <w:t xml:space="preserve">debljine 2,3-2,5mm, pocinčani </w:t>
            </w:r>
            <w:r w:rsidRPr="00DF299E">
              <w:t>Ø 60</w:t>
            </w:r>
            <w:r>
              <w:t>, dužine 4m</w:t>
            </w:r>
          </w:p>
        </w:tc>
        <w:tc>
          <w:tcPr>
            <w:tcW w:w="992" w:type="dxa"/>
            <w:tcBorders>
              <w:top w:val="thinThickSmallGap" w:sz="24" w:space="0" w:color="auto"/>
              <w:left w:val="single" w:sz="4" w:space="0" w:color="auto"/>
              <w:bottom w:val="single" w:sz="4" w:space="0" w:color="auto"/>
              <w:right w:val="single" w:sz="4" w:space="0" w:color="auto"/>
            </w:tcBorders>
          </w:tcPr>
          <w:p w:rsidR="00DC6025" w:rsidRDefault="00DC6025" w:rsidP="00270567">
            <w:pPr>
              <w:pStyle w:val="TableParagraph"/>
              <w:rPr>
                <w:sz w:val="24"/>
              </w:rPr>
            </w:pPr>
            <w:r>
              <w:rPr>
                <w:sz w:val="24"/>
              </w:rPr>
              <w:t>kom</w:t>
            </w:r>
          </w:p>
        </w:tc>
        <w:tc>
          <w:tcPr>
            <w:tcW w:w="1276" w:type="dxa"/>
            <w:tcBorders>
              <w:top w:val="thinThickSmallGap" w:sz="24" w:space="0" w:color="auto"/>
              <w:left w:val="single" w:sz="4" w:space="0" w:color="auto"/>
              <w:bottom w:val="single" w:sz="4" w:space="0" w:color="auto"/>
              <w:right w:val="single" w:sz="4" w:space="0" w:color="auto"/>
            </w:tcBorders>
          </w:tcPr>
          <w:p w:rsidR="00DC6025" w:rsidRDefault="00DC6025" w:rsidP="00270567">
            <w:pPr>
              <w:pStyle w:val="TableParagraph"/>
              <w:rPr>
                <w:sz w:val="24"/>
              </w:rPr>
            </w:pPr>
            <w:r>
              <w:rPr>
                <w:sz w:val="24"/>
              </w:rPr>
              <w:t>15</w:t>
            </w:r>
          </w:p>
        </w:tc>
        <w:tc>
          <w:tcPr>
            <w:tcW w:w="850" w:type="dxa"/>
            <w:gridSpan w:val="2"/>
            <w:tcBorders>
              <w:top w:val="thinThickSmallGap" w:sz="2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07" w:type="dxa"/>
            <w:gridSpan w:val="2"/>
            <w:tcBorders>
              <w:top w:val="thinThickSmallGap" w:sz="2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thinThickSmallGap" w:sz="2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thinThickSmallGap" w:sz="2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DC6025" w:rsidRPr="002E6C18" w:rsidTr="005746BF">
        <w:tc>
          <w:tcPr>
            <w:tcW w:w="803" w:type="dxa"/>
            <w:tcBorders>
              <w:top w:val="single" w:sz="4" w:space="0" w:color="auto"/>
              <w:left w:val="single" w:sz="4" w:space="0" w:color="auto"/>
              <w:bottom w:val="single" w:sz="4" w:space="0" w:color="auto"/>
              <w:right w:val="single" w:sz="4" w:space="0" w:color="auto"/>
            </w:tcBorders>
          </w:tcPr>
          <w:p w:rsidR="00DC6025" w:rsidRPr="00DC6025" w:rsidRDefault="00DC6025" w:rsidP="00DC6025">
            <w:pPr>
              <w:pStyle w:val="ListParagraph"/>
              <w:numPr>
                <w:ilvl w:val="0"/>
                <w:numId w:val="48"/>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C6025" w:rsidRPr="002E6C18" w:rsidRDefault="00DC6025"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C6025" w:rsidRDefault="00DC6025" w:rsidP="00EE3374">
            <w:pPr>
              <w:pStyle w:val="TableParagraph"/>
              <w:spacing w:line="234" w:lineRule="exact"/>
              <w:ind w:left="107"/>
              <w:jc w:val="both"/>
            </w:pPr>
            <w:r w:rsidRPr="00DF299E">
              <w:rPr>
                <w:bCs/>
                <w:sz w:val="24"/>
                <w:szCs w:val="24"/>
              </w:rPr>
              <w:t xml:space="preserve">debljine 2,3-2,5mm, pocinčani </w:t>
            </w:r>
            <w:r w:rsidRPr="00DF299E">
              <w:t>Ø 60</w:t>
            </w:r>
            <w:r>
              <w:t>, dužine 3,5m</w:t>
            </w:r>
          </w:p>
        </w:tc>
        <w:tc>
          <w:tcPr>
            <w:tcW w:w="992"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C6025" w:rsidRDefault="00DC6025" w:rsidP="00EE3374">
            <w:pPr>
              <w:pStyle w:val="TableParagraph"/>
              <w:rPr>
                <w:sz w:val="24"/>
              </w:rPr>
            </w:pPr>
            <w:r>
              <w:rPr>
                <w:sz w:val="24"/>
              </w:rPr>
              <w:t>20</w:t>
            </w:r>
          </w:p>
        </w:tc>
        <w:tc>
          <w:tcPr>
            <w:tcW w:w="850"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DC6025" w:rsidRPr="002E6C18" w:rsidTr="005746BF">
        <w:tc>
          <w:tcPr>
            <w:tcW w:w="803" w:type="dxa"/>
            <w:tcBorders>
              <w:top w:val="single" w:sz="4" w:space="0" w:color="auto"/>
              <w:left w:val="single" w:sz="4" w:space="0" w:color="auto"/>
              <w:bottom w:val="single" w:sz="4" w:space="0" w:color="auto"/>
              <w:right w:val="single" w:sz="4" w:space="0" w:color="auto"/>
            </w:tcBorders>
          </w:tcPr>
          <w:p w:rsidR="00DC6025" w:rsidRPr="00DC6025" w:rsidRDefault="00DC6025" w:rsidP="00DC6025">
            <w:pPr>
              <w:pStyle w:val="ListParagraph"/>
              <w:numPr>
                <w:ilvl w:val="0"/>
                <w:numId w:val="48"/>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C6025" w:rsidRPr="002E6C18" w:rsidRDefault="00DC6025"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C6025" w:rsidRDefault="00DC6025" w:rsidP="00EE3374">
            <w:pPr>
              <w:pStyle w:val="TableParagraph"/>
              <w:spacing w:line="234" w:lineRule="exact"/>
              <w:ind w:left="107"/>
              <w:jc w:val="both"/>
            </w:pPr>
            <w:r>
              <w:rPr>
                <w:bCs/>
                <w:sz w:val="24"/>
                <w:szCs w:val="24"/>
              </w:rPr>
              <w:t>Rešetkasti stubovi za table, 2,5mx2,5m,</w:t>
            </w:r>
            <w:r w:rsidRPr="00DF299E">
              <w:rPr>
                <w:bCs/>
                <w:sz w:val="24"/>
                <w:szCs w:val="24"/>
              </w:rPr>
              <w:t xml:space="preserve"> </w:t>
            </w:r>
            <w:r>
              <w:t>Ø 7</w:t>
            </w:r>
            <w:r w:rsidRPr="00DF299E">
              <w:t>0</w:t>
            </w:r>
          </w:p>
        </w:tc>
        <w:tc>
          <w:tcPr>
            <w:tcW w:w="992"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rPr>
                <w:sz w:val="24"/>
              </w:rPr>
            </w:pPr>
            <w:r>
              <w:rPr>
                <w:sz w:val="24"/>
              </w:rPr>
              <w:t>kom</w:t>
            </w:r>
          </w:p>
        </w:tc>
        <w:tc>
          <w:tcPr>
            <w:tcW w:w="1276"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rPr>
                <w:sz w:val="24"/>
              </w:rPr>
            </w:pPr>
            <w:r>
              <w:rPr>
                <w:sz w:val="24"/>
              </w:rPr>
              <w:t>8</w:t>
            </w:r>
          </w:p>
        </w:tc>
        <w:tc>
          <w:tcPr>
            <w:tcW w:w="850"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DC6025" w:rsidRPr="002E6C18" w:rsidTr="005746BF">
        <w:tc>
          <w:tcPr>
            <w:tcW w:w="803" w:type="dxa"/>
            <w:tcBorders>
              <w:top w:val="single" w:sz="4" w:space="0" w:color="auto"/>
              <w:left w:val="single" w:sz="4" w:space="0" w:color="auto"/>
              <w:bottom w:val="single" w:sz="4" w:space="0" w:color="auto"/>
              <w:right w:val="single" w:sz="4" w:space="0" w:color="auto"/>
            </w:tcBorders>
          </w:tcPr>
          <w:p w:rsidR="00DC6025" w:rsidRPr="00DC6025" w:rsidRDefault="00DC6025" w:rsidP="00DC6025">
            <w:pPr>
              <w:pStyle w:val="ListParagraph"/>
              <w:numPr>
                <w:ilvl w:val="0"/>
                <w:numId w:val="48"/>
              </w:numPr>
              <w:spacing w:after="0" w:line="20" w:lineRule="atLeast"/>
              <w:rPr>
                <w:rFonts w:ascii="Times New Roman" w:hAnsi="Times New Roman" w:cs="Times New Roman"/>
                <w:sz w:val="24"/>
                <w:szCs w:val="24"/>
                <w:lang w:val="it-IT"/>
              </w:rPr>
            </w:pPr>
          </w:p>
        </w:tc>
        <w:tc>
          <w:tcPr>
            <w:tcW w:w="1276" w:type="dxa"/>
            <w:vMerge/>
            <w:tcBorders>
              <w:left w:val="single" w:sz="4" w:space="0" w:color="auto"/>
              <w:right w:val="single" w:sz="4" w:space="0" w:color="auto"/>
            </w:tcBorders>
          </w:tcPr>
          <w:p w:rsidR="00DC6025" w:rsidRPr="002E6C18" w:rsidRDefault="00DC6025"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spacing w:line="234" w:lineRule="exact"/>
              <w:ind w:left="107"/>
              <w:jc w:val="both"/>
            </w:pPr>
            <w:r>
              <w:rPr>
                <w:sz w:val="24"/>
                <w:szCs w:val="24"/>
              </w:rPr>
              <w:t>Iskop i betonaža stubova (temeljne stope) 50x50</w:t>
            </w:r>
          </w:p>
        </w:tc>
        <w:tc>
          <w:tcPr>
            <w:tcW w:w="992"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tcPr>
          <w:p w:rsidR="00DC6025" w:rsidRDefault="00DC6025" w:rsidP="00270567">
            <w:pPr>
              <w:pStyle w:val="TableParagraph"/>
              <w:rPr>
                <w:sz w:val="24"/>
              </w:rPr>
            </w:pPr>
          </w:p>
        </w:tc>
        <w:tc>
          <w:tcPr>
            <w:tcW w:w="850"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DC6025" w:rsidRPr="002E6C18" w:rsidTr="00E732F2">
        <w:tc>
          <w:tcPr>
            <w:tcW w:w="803" w:type="dxa"/>
            <w:tcBorders>
              <w:top w:val="single" w:sz="4" w:space="0" w:color="auto"/>
              <w:left w:val="single" w:sz="4" w:space="0" w:color="auto"/>
              <w:bottom w:val="thinThickSmallGap" w:sz="24" w:space="0" w:color="auto"/>
              <w:right w:val="single" w:sz="4" w:space="0" w:color="auto"/>
            </w:tcBorders>
          </w:tcPr>
          <w:p w:rsidR="00DC6025" w:rsidRPr="00DC6025" w:rsidRDefault="00DC6025" w:rsidP="00DC6025">
            <w:pPr>
              <w:pStyle w:val="ListParagraph"/>
              <w:numPr>
                <w:ilvl w:val="0"/>
                <w:numId w:val="48"/>
              </w:numPr>
              <w:spacing w:after="0" w:line="20" w:lineRule="atLeast"/>
              <w:rPr>
                <w:rFonts w:ascii="Times New Roman" w:hAnsi="Times New Roman" w:cs="Times New Roman"/>
                <w:sz w:val="24"/>
                <w:szCs w:val="24"/>
                <w:lang w:val="it-IT"/>
              </w:rPr>
            </w:pPr>
          </w:p>
        </w:tc>
        <w:tc>
          <w:tcPr>
            <w:tcW w:w="1276" w:type="dxa"/>
            <w:vMerge/>
            <w:tcBorders>
              <w:left w:val="single" w:sz="4" w:space="0" w:color="auto"/>
              <w:bottom w:val="thinThickSmallGap" w:sz="24" w:space="0" w:color="auto"/>
              <w:right w:val="single" w:sz="4" w:space="0" w:color="auto"/>
            </w:tcBorders>
          </w:tcPr>
          <w:p w:rsidR="00DC6025" w:rsidRPr="002E6C18" w:rsidRDefault="00DC6025" w:rsidP="00A06865">
            <w:pPr>
              <w:spacing w:after="0" w:line="20" w:lineRule="atLeast"/>
              <w:rPr>
                <w:rFonts w:ascii="Times New Roman" w:hAnsi="Times New Roman" w:cs="Times New Roman"/>
                <w:sz w:val="24"/>
                <w:szCs w:val="24"/>
              </w:rPr>
            </w:pPr>
          </w:p>
        </w:tc>
        <w:tc>
          <w:tcPr>
            <w:tcW w:w="3686" w:type="dxa"/>
            <w:tcBorders>
              <w:top w:val="single" w:sz="4" w:space="0" w:color="auto"/>
              <w:left w:val="single" w:sz="4" w:space="0" w:color="auto"/>
              <w:bottom w:val="thinThickSmallGap" w:sz="24" w:space="0" w:color="auto"/>
              <w:right w:val="single" w:sz="4" w:space="0" w:color="auto"/>
            </w:tcBorders>
          </w:tcPr>
          <w:p w:rsidR="00DC6025" w:rsidRDefault="00DC6025" w:rsidP="00383C9B">
            <w:pPr>
              <w:pStyle w:val="TableParagraph"/>
              <w:spacing w:line="234" w:lineRule="exact"/>
              <w:ind w:left="107"/>
              <w:jc w:val="both"/>
            </w:pPr>
            <w:r>
              <w:rPr>
                <w:sz w:val="24"/>
                <w:szCs w:val="24"/>
              </w:rPr>
              <w:t>Iskop i betonaža stubova (rešetkaste stope) 1000x700</w:t>
            </w:r>
          </w:p>
        </w:tc>
        <w:tc>
          <w:tcPr>
            <w:tcW w:w="992" w:type="dxa"/>
            <w:tcBorders>
              <w:top w:val="single" w:sz="4" w:space="0" w:color="auto"/>
              <w:left w:val="single" w:sz="4" w:space="0" w:color="auto"/>
              <w:bottom w:val="thinThickSmallGap" w:sz="24" w:space="0" w:color="auto"/>
              <w:right w:val="single" w:sz="4" w:space="0" w:color="auto"/>
            </w:tcBorders>
          </w:tcPr>
          <w:p w:rsidR="00DC6025" w:rsidRDefault="00DC6025" w:rsidP="00270567">
            <w:pPr>
              <w:pStyle w:val="TableParagraph"/>
              <w:rPr>
                <w:sz w:val="24"/>
              </w:rPr>
            </w:pPr>
          </w:p>
        </w:tc>
        <w:tc>
          <w:tcPr>
            <w:tcW w:w="1276" w:type="dxa"/>
            <w:tcBorders>
              <w:top w:val="single" w:sz="4" w:space="0" w:color="auto"/>
              <w:left w:val="single" w:sz="4" w:space="0" w:color="auto"/>
              <w:bottom w:val="thinThickSmallGap" w:sz="24" w:space="0" w:color="auto"/>
              <w:right w:val="single" w:sz="4" w:space="0" w:color="auto"/>
            </w:tcBorders>
          </w:tcPr>
          <w:p w:rsidR="00DC6025" w:rsidRDefault="00DC6025" w:rsidP="00270567">
            <w:pPr>
              <w:pStyle w:val="TableParagraph"/>
              <w:rPr>
                <w:sz w:val="24"/>
              </w:rPr>
            </w:pPr>
          </w:p>
        </w:tc>
        <w:tc>
          <w:tcPr>
            <w:tcW w:w="850" w:type="dxa"/>
            <w:gridSpan w:val="2"/>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07" w:type="dxa"/>
            <w:gridSpan w:val="2"/>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thinThickSmallGap" w:sz="24" w:space="0" w:color="auto"/>
              <w:right w:val="single" w:sz="4" w:space="0" w:color="auto"/>
            </w:tcBorders>
          </w:tcPr>
          <w:p w:rsidR="00DC6025" w:rsidRPr="002E6C18" w:rsidRDefault="00DC6025" w:rsidP="00A06865">
            <w:pPr>
              <w:spacing w:after="0" w:line="20" w:lineRule="atLeast"/>
              <w:jc w:val="center"/>
              <w:rPr>
                <w:rFonts w:ascii="Times New Roman" w:hAnsi="Times New Roman" w:cs="Times New Roman"/>
                <w:sz w:val="24"/>
                <w:szCs w:val="24"/>
                <w:lang w:val="it-IT"/>
              </w:rPr>
            </w:pPr>
          </w:p>
        </w:tc>
      </w:tr>
      <w:tr w:rsidR="00E732F2" w:rsidRPr="006F3819" w:rsidTr="005C582D">
        <w:trPr>
          <w:trHeight w:val="365"/>
        </w:trPr>
        <w:tc>
          <w:tcPr>
            <w:tcW w:w="8931" w:type="dxa"/>
            <w:gridSpan w:val="8"/>
            <w:tcBorders>
              <w:top w:val="thinThickSmallGap" w:sz="24" w:space="0" w:color="auto"/>
              <w:left w:val="single" w:sz="4" w:space="0" w:color="auto"/>
              <w:bottom w:val="thinThickSmallGap" w:sz="24" w:space="0" w:color="auto"/>
              <w:right w:val="single" w:sz="4" w:space="0" w:color="auto"/>
            </w:tcBorders>
            <w:vAlign w:val="center"/>
          </w:tcPr>
          <w:p w:rsidR="00E732F2" w:rsidRPr="006F3819" w:rsidRDefault="00E732F2" w:rsidP="00E732F2">
            <w:pPr>
              <w:spacing w:after="0" w:line="20" w:lineRule="atLeast"/>
              <w:jc w:val="center"/>
              <w:rPr>
                <w:rFonts w:ascii="Times New Roman" w:hAnsi="Times New Roman" w:cs="Times New Roman"/>
                <w:b/>
                <w:sz w:val="24"/>
                <w:szCs w:val="24"/>
                <w:lang w:val="it-IT"/>
              </w:rPr>
            </w:pPr>
            <w:r w:rsidRPr="006F3819">
              <w:rPr>
                <w:rFonts w:ascii="Times New Roman" w:hAnsi="Times New Roman" w:cs="Times New Roman"/>
                <w:b/>
                <w:sz w:val="24"/>
                <w:szCs w:val="24"/>
                <w:lang w:val="it-IT"/>
              </w:rPr>
              <w:t>UKUPNO</w:t>
            </w:r>
          </w:p>
        </w:tc>
        <w:tc>
          <w:tcPr>
            <w:tcW w:w="659" w:type="dxa"/>
            <w:tcBorders>
              <w:top w:val="thinThickSmallGap" w:sz="24" w:space="0" w:color="auto"/>
              <w:left w:val="single" w:sz="4" w:space="0" w:color="auto"/>
              <w:bottom w:val="thinThickSmallGap" w:sz="24" w:space="0" w:color="auto"/>
              <w:right w:val="single" w:sz="4" w:space="0" w:color="auto"/>
            </w:tcBorders>
            <w:vAlign w:val="center"/>
          </w:tcPr>
          <w:p w:rsidR="00E732F2" w:rsidRPr="006F3819" w:rsidRDefault="00E732F2" w:rsidP="00A06865">
            <w:pPr>
              <w:spacing w:after="0" w:line="20" w:lineRule="atLeast"/>
              <w:jc w:val="both"/>
              <w:rPr>
                <w:rFonts w:ascii="Times New Roman" w:hAnsi="Times New Roman" w:cs="Times New Roman"/>
                <w:b/>
                <w:sz w:val="24"/>
                <w:szCs w:val="24"/>
                <w:lang w:val="it-IT"/>
              </w:rPr>
            </w:pPr>
          </w:p>
        </w:tc>
        <w:tc>
          <w:tcPr>
            <w:tcW w:w="568" w:type="dxa"/>
            <w:tcBorders>
              <w:top w:val="thinThickSmallGap" w:sz="24" w:space="0" w:color="auto"/>
              <w:left w:val="single" w:sz="4" w:space="0" w:color="auto"/>
              <w:bottom w:val="thinThickSmallGap" w:sz="24" w:space="0" w:color="auto"/>
              <w:right w:val="single" w:sz="4" w:space="0" w:color="auto"/>
            </w:tcBorders>
            <w:vAlign w:val="center"/>
          </w:tcPr>
          <w:p w:rsidR="00E732F2" w:rsidRPr="006F3819" w:rsidRDefault="00E732F2" w:rsidP="00A06865">
            <w:pPr>
              <w:spacing w:after="0" w:line="20" w:lineRule="atLeast"/>
              <w:rPr>
                <w:rFonts w:ascii="Times New Roman" w:hAnsi="Times New Roman" w:cs="Times New Roman"/>
                <w:b/>
                <w:sz w:val="24"/>
                <w:szCs w:val="24"/>
                <w:lang w:val="it-IT"/>
              </w:rPr>
            </w:pPr>
          </w:p>
        </w:tc>
        <w:tc>
          <w:tcPr>
            <w:tcW w:w="710" w:type="dxa"/>
            <w:tcBorders>
              <w:top w:val="thinThickSmallGap" w:sz="24" w:space="0" w:color="auto"/>
              <w:left w:val="single" w:sz="4" w:space="0" w:color="auto"/>
              <w:bottom w:val="thinThickSmallGap" w:sz="24" w:space="0" w:color="auto"/>
              <w:right w:val="thinThickSmallGap" w:sz="24" w:space="0" w:color="auto"/>
            </w:tcBorders>
            <w:vAlign w:val="center"/>
          </w:tcPr>
          <w:p w:rsidR="00E732F2" w:rsidRPr="006F3819" w:rsidRDefault="00E732F2" w:rsidP="00A06865">
            <w:pPr>
              <w:spacing w:after="0" w:line="20" w:lineRule="atLeast"/>
              <w:rPr>
                <w:rFonts w:ascii="Times New Roman" w:hAnsi="Times New Roman" w:cs="Times New Roman"/>
                <w:b/>
                <w:sz w:val="24"/>
                <w:szCs w:val="24"/>
                <w:lang w:val="it-IT"/>
              </w:rPr>
            </w:pPr>
          </w:p>
        </w:tc>
      </w:tr>
    </w:tbl>
    <w:p w:rsidR="00A06865" w:rsidRDefault="00A06865" w:rsidP="00876DCC">
      <w:pPr>
        <w:tabs>
          <w:tab w:val="left" w:pos="2529"/>
        </w:tabs>
        <w:spacing w:after="0" w:line="240" w:lineRule="auto"/>
        <w:rPr>
          <w:rFonts w:ascii="Times New Roman" w:hAnsi="Times New Roman" w:cs="Times New Roman"/>
          <w:b/>
          <w:bCs/>
          <w:color w:val="FF0000"/>
          <w:sz w:val="24"/>
          <w:szCs w:val="24"/>
        </w:rPr>
      </w:pPr>
    </w:p>
    <w:p w:rsidR="00A06865" w:rsidRPr="00DF299E" w:rsidRDefault="001500DC" w:rsidP="00AE5002">
      <w:pPr>
        <w:spacing w:after="0" w:line="240" w:lineRule="auto"/>
        <w:contextualSpacing/>
        <w:jc w:val="both"/>
        <w:rPr>
          <w:rFonts w:ascii="Times New Roman" w:hAnsi="Times New Roman" w:cs="Times New Roman"/>
          <w:b/>
          <w:sz w:val="24"/>
          <w:szCs w:val="24"/>
          <w:lang w:val="pl-PL"/>
        </w:rPr>
      </w:pPr>
      <w:r w:rsidRPr="00DF299E">
        <w:rPr>
          <w:rFonts w:ascii="Times New Roman" w:hAnsi="Times New Roman" w:cs="Times New Roman"/>
          <w:b/>
          <w:sz w:val="24"/>
          <w:szCs w:val="24"/>
          <w:lang w:val="pl-PL"/>
        </w:rPr>
        <w:t>NAPOMENA:</w:t>
      </w:r>
    </w:p>
    <w:p w:rsidR="001500DC" w:rsidRDefault="001500DC" w:rsidP="00AE5002">
      <w:pPr>
        <w:spacing w:after="0" w:line="240" w:lineRule="auto"/>
        <w:contextualSpacing/>
        <w:jc w:val="both"/>
        <w:rPr>
          <w:rFonts w:ascii="Times New Roman" w:hAnsi="Times New Roman" w:cs="Times New Roman"/>
          <w:sz w:val="24"/>
          <w:szCs w:val="24"/>
          <w:lang w:val="pl-PL"/>
        </w:rPr>
      </w:pPr>
    </w:p>
    <w:p w:rsidR="00A06865" w:rsidRPr="00BD7109" w:rsidRDefault="00BB6B1C" w:rsidP="00AE5002">
      <w:pPr>
        <w:spacing w:after="0" w:line="240" w:lineRule="auto"/>
        <w:contextualSpacing/>
        <w:jc w:val="both"/>
        <w:rPr>
          <w:rFonts w:ascii="Times New Roman" w:hAnsi="Times New Roman" w:cs="Times New Roman"/>
          <w:b/>
          <w:sz w:val="24"/>
          <w:szCs w:val="24"/>
          <w:lang w:val="pl-PL"/>
        </w:rPr>
      </w:pPr>
      <w:r w:rsidRPr="00BD7109">
        <w:rPr>
          <w:rFonts w:ascii="Times New Roman" w:hAnsi="Times New Roman" w:cs="Times New Roman"/>
          <w:b/>
          <w:sz w:val="24"/>
          <w:szCs w:val="24"/>
          <w:lang w:val="pl-PL"/>
        </w:rPr>
        <w:t xml:space="preserve">Obilježavanje punih, </w:t>
      </w:r>
      <w:r w:rsidR="001500DC" w:rsidRPr="00BD7109">
        <w:rPr>
          <w:rFonts w:ascii="Times New Roman" w:hAnsi="Times New Roman" w:cs="Times New Roman"/>
          <w:b/>
          <w:sz w:val="24"/>
          <w:szCs w:val="24"/>
          <w:lang w:val="pl-PL"/>
        </w:rPr>
        <w:t>isprekidanih linija, pješačkih prelaza, strelica, za</w:t>
      </w:r>
      <w:r w:rsidR="00C60DB5" w:rsidRPr="00BD7109">
        <w:rPr>
          <w:rFonts w:ascii="Times New Roman" w:hAnsi="Times New Roman" w:cs="Times New Roman"/>
          <w:b/>
          <w:sz w:val="24"/>
          <w:szCs w:val="24"/>
          <w:lang w:val="pl-PL"/>
        </w:rPr>
        <w:t>u</w:t>
      </w:r>
      <w:r w:rsidR="001500DC" w:rsidRPr="00BD7109">
        <w:rPr>
          <w:rFonts w:ascii="Times New Roman" w:hAnsi="Times New Roman" w:cs="Times New Roman"/>
          <w:b/>
          <w:sz w:val="24"/>
          <w:szCs w:val="24"/>
          <w:lang w:val="pl-PL"/>
        </w:rPr>
        <w:t>stavnih linija, trouglova vrši se bijelom bojom, shodno Pravilniku o saobraćajnoj signalizaciji</w:t>
      </w:r>
      <w:r w:rsidR="00D9489D">
        <w:rPr>
          <w:rFonts w:ascii="Times New Roman" w:hAnsi="Times New Roman" w:cs="Times New Roman"/>
          <w:b/>
          <w:sz w:val="24"/>
          <w:szCs w:val="24"/>
          <w:lang w:val="pl-PL"/>
        </w:rPr>
        <w:t xml:space="preserve"> </w:t>
      </w:r>
      <w:r w:rsidR="00E10DAD" w:rsidRPr="00BD7109">
        <w:rPr>
          <w:rFonts w:ascii="Times New Roman" w:eastAsia="Times New Roman" w:hAnsi="Times New Roman" w:cs="Times New Roman"/>
          <w:b/>
          <w:sz w:val="24"/>
          <w:szCs w:val="24"/>
        </w:rPr>
        <w:t>(Sl. list Crne Gore” broj 32/14 od 30.07.2014. god.)</w:t>
      </w:r>
      <w:r w:rsidR="001500DC" w:rsidRPr="00BD7109">
        <w:rPr>
          <w:rFonts w:ascii="Times New Roman" w:hAnsi="Times New Roman" w:cs="Times New Roman"/>
          <w:b/>
          <w:sz w:val="24"/>
          <w:szCs w:val="24"/>
          <w:lang w:val="pl-PL"/>
        </w:rPr>
        <w:t>.</w:t>
      </w:r>
      <w:r w:rsidR="00A60D3F">
        <w:rPr>
          <w:rFonts w:ascii="Times New Roman" w:hAnsi="Times New Roman" w:cs="Times New Roman"/>
          <w:b/>
          <w:sz w:val="24"/>
          <w:szCs w:val="24"/>
          <w:lang w:val="pl-PL"/>
        </w:rPr>
        <w:t xml:space="preserve"> </w:t>
      </w:r>
    </w:p>
    <w:p w:rsidR="00A06865" w:rsidRPr="00BD7109" w:rsidRDefault="001500DC" w:rsidP="00AE5002">
      <w:pPr>
        <w:spacing w:after="0" w:line="240" w:lineRule="auto"/>
        <w:contextualSpacing/>
        <w:jc w:val="both"/>
        <w:rPr>
          <w:rFonts w:ascii="Times New Roman" w:hAnsi="Times New Roman" w:cs="Times New Roman"/>
          <w:b/>
          <w:sz w:val="24"/>
          <w:szCs w:val="24"/>
          <w:lang w:val="pl-PL"/>
        </w:rPr>
      </w:pPr>
      <w:r w:rsidRPr="00BD7109">
        <w:rPr>
          <w:rFonts w:ascii="Times New Roman" w:hAnsi="Times New Roman" w:cs="Times New Roman"/>
          <w:b/>
          <w:sz w:val="24"/>
          <w:szCs w:val="24"/>
          <w:lang w:val="pl-PL"/>
        </w:rPr>
        <w:t>Taxi i BUS stajališta obilježavaju se žutom bojom istog proizvođača.</w:t>
      </w:r>
    </w:p>
    <w:p w:rsidR="001500DC" w:rsidRPr="00BD7109" w:rsidRDefault="001500DC" w:rsidP="00AE5002">
      <w:pPr>
        <w:spacing w:after="0" w:line="240" w:lineRule="auto"/>
        <w:contextualSpacing/>
        <w:jc w:val="both"/>
        <w:rPr>
          <w:rFonts w:ascii="Times New Roman" w:hAnsi="Times New Roman" w:cs="Times New Roman"/>
          <w:b/>
          <w:sz w:val="24"/>
          <w:szCs w:val="24"/>
          <w:lang w:val="pl-PL"/>
        </w:rPr>
      </w:pPr>
      <w:r w:rsidRPr="00BD7109">
        <w:rPr>
          <w:rFonts w:ascii="Times New Roman" w:hAnsi="Times New Roman" w:cs="Times New Roman"/>
          <w:b/>
          <w:sz w:val="24"/>
          <w:szCs w:val="24"/>
          <w:lang w:val="pl-PL"/>
        </w:rPr>
        <w:t>Za obračun se uzimaju samo ofarbane površine, obračunate po m' ili m</w:t>
      </w:r>
      <w:r w:rsidRPr="00BD7109">
        <w:rPr>
          <w:rFonts w:ascii="Times New Roman" w:hAnsi="Times New Roman" w:cs="Times New Roman"/>
          <w:b/>
          <w:sz w:val="24"/>
          <w:szCs w:val="24"/>
          <w:vertAlign w:val="superscript"/>
          <w:lang w:val="pl-PL"/>
        </w:rPr>
        <w:t>2</w:t>
      </w:r>
      <w:r w:rsidRPr="00BD7109">
        <w:rPr>
          <w:rFonts w:ascii="Times New Roman" w:hAnsi="Times New Roman" w:cs="Times New Roman"/>
          <w:b/>
          <w:sz w:val="24"/>
          <w:szCs w:val="24"/>
          <w:lang w:val="pl-PL"/>
        </w:rPr>
        <w:t>.</w:t>
      </w:r>
    </w:p>
    <w:p w:rsidR="00A06865" w:rsidRDefault="00A06865" w:rsidP="00AE5002">
      <w:pPr>
        <w:spacing w:after="0" w:line="240" w:lineRule="auto"/>
        <w:contextualSpacing/>
        <w:jc w:val="both"/>
        <w:rPr>
          <w:rFonts w:ascii="Times New Roman" w:hAnsi="Times New Roman" w:cs="Times New Roman"/>
          <w:sz w:val="24"/>
          <w:szCs w:val="24"/>
          <w:lang w:val="pl-PL"/>
        </w:rPr>
      </w:pPr>
    </w:p>
    <w:p w:rsidR="00CB3551" w:rsidRPr="00D11654" w:rsidRDefault="00C60DB5" w:rsidP="00AE5002">
      <w:pPr>
        <w:spacing w:after="0" w:line="240" w:lineRule="auto"/>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Saobraćaj</w:t>
      </w:r>
      <w:r w:rsidR="00F02EF8">
        <w:rPr>
          <w:rFonts w:ascii="Times New Roman" w:hAnsi="Times New Roman" w:cs="Times New Roman"/>
          <w:b/>
          <w:sz w:val="24"/>
          <w:szCs w:val="24"/>
          <w:lang w:val="pl-PL"/>
        </w:rPr>
        <w:t>ni znaci treba da budu</w:t>
      </w:r>
      <w:r w:rsidR="00D11654" w:rsidRPr="00D11654">
        <w:rPr>
          <w:rFonts w:ascii="Times New Roman" w:hAnsi="Times New Roman" w:cs="Times New Roman"/>
          <w:b/>
          <w:sz w:val="24"/>
          <w:szCs w:val="24"/>
          <w:lang w:val="pl-PL"/>
        </w:rPr>
        <w:t xml:space="preserve"> od </w:t>
      </w:r>
      <w:r w:rsidR="00F02EF8">
        <w:rPr>
          <w:rFonts w:ascii="Times New Roman" w:hAnsi="Times New Roman" w:cs="Times New Roman"/>
          <w:b/>
          <w:sz w:val="24"/>
          <w:szCs w:val="24"/>
          <w:lang w:val="pl-PL"/>
        </w:rPr>
        <w:t>pocinčanog lima</w:t>
      </w:r>
      <w:r w:rsidR="00D11654" w:rsidRPr="00D11654">
        <w:rPr>
          <w:rFonts w:ascii="Times New Roman" w:hAnsi="Times New Roman" w:cs="Times New Roman"/>
          <w:b/>
          <w:sz w:val="24"/>
          <w:szCs w:val="24"/>
          <w:lang w:val="pl-PL"/>
        </w:rPr>
        <w:t xml:space="preserve"> sa  povijenom ivicom. debljine </w:t>
      </w:r>
      <w:r>
        <w:rPr>
          <w:rFonts w:ascii="Times New Roman" w:hAnsi="Times New Roman" w:cs="Times New Roman"/>
          <w:b/>
          <w:sz w:val="24"/>
          <w:szCs w:val="24"/>
          <w:lang w:val="pl-PL"/>
        </w:rPr>
        <w:t>z</w:t>
      </w:r>
      <w:r w:rsidR="00D11654" w:rsidRPr="00D11654">
        <w:rPr>
          <w:rFonts w:ascii="Times New Roman" w:hAnsi="Times New Roman" w:cs="Times New Roman"/>
          <w:b/>
          <w:sz w:val="24"/>
          <w:szCs w:val="24"/>
          <w:lang w:val="pl-PL"/>
        </w:rPr>
        <w:t>idova 2,3-2,5mm, sa reflektujućom folijom K3</w:t>
      </w:r>
      <w:r w:rsidR="00F02EF8">
        <w:rPr>
          <w:rFonts w:ascii="Times New Roman" w:hAnsi="Times New Roman" w:cs="Times New Roman"/>
          <w:b/>
          <w:sz w:val="24"/>
          <w:szCs w:val="24"/>
          <w:lang w:val="pl-PL"/>
        </w:rPr>
        <w:t>, i sa odgovarajućim šelnama</w:t>
      </w:r>
      <w:r w:rsidR="00D11654" w:rsidRPr="00D11654">
        <w:rPr>
          <w:rFonts w:ascii="Times New Roman" w:hAnsi="Times New Roman" w:cs="Times New Roman"/>
          <w:b/>
          <w:sz w:val="24"/>
          <w:szCs w:val="24"/>
          <w:lang w:val="pl-PL"/>
        </w:rPr>
        <w:t>.</w:t>
      </w:r>
    </w:p>
    <w:p w:rsidR="00D11654" w:rsidRDefault="00D11654" w:rsidP="00AE5002">
      <w:pPr>
        <w:spacing w:after="0" w:line="240" w:lineRule="auto"/>
        <w:contextualSpacing/>
        <w:jc w:val="both"/>
        <w:rPr>
          <w:rFonts w:ascii="Times New Roman" w:hAnsi="Times New Roman" w:cs="Times New Roman"/>
          <w:sz w:val="24"/>
          <w:szCs w:val="24"/>
          <w:lang w:val="pl-PL"/>
        </w:rPr>
      </w:pPr>
    </w:p>
    <w:p w:rsidR="00293A4F" w:rsidRPr="00BD7109" w:rsidRDefault="00293A4F" w:rsidP="00AE5002">
      <w:pPr>
        <w:spacing w:after="0" w:line="240" w:lineRule="auto"/>
        <w:contextualSpacing/>
        <w:jc w:val="both"/>
        <w:rPr>
          <w:rFonts w:ascii="Times New Roman" w:hAnsi="Times New Roman" w:cs="Times New Roman"/>
          <w:b/>
          <w:sz w:val="24"/>
          <w:szCs w:val="24"/>
          <w:lang w:val="pl-PL"/>
        </w:rPr>
      </w:pPr>
      <w:r w:rsidRPr="00BD7109">
        <w:rPr>
          <w:rFonts w:ascii="Times New Roman" w:eastAsia="Times New Roman" w:hAnsi="Times New Roman" w:cs="Times New Roman"/>
          <w:b/>
          <w:sz w:val="24"/>
          <w:szCs w:val="24"/>
        </w:rPr>
        <w:t>Ponuđači su dužni dostaviti CE Sertifikat o usklađenosti za saobraćajne znakove kojim se dokazuje da znakovi ispunjavaju sve propisane zahtjeve sa Standardom MEST EN 12899-1:2009.</w:t>
      </w:r>
    </w:p>
    <w:p w:rsidR="00293A4F" w:rsidRDefault="00293A4F" w:rsidP="00AE5002">
      <w:pPr>
        <w:spacing w:after="0" w:line="240" w:lineRule="auto"/>
        <w:contextualSpacing/>
        <w:jc w:val="both"/>
        <w:rPr>
          <w:rFonts w:ascii="Times New Roman" w:hAnsi="Times New Roman" w:cs="Times New Roman"/>
          <w:sz w:val="24"/>
          <w:szCs w:val="24"/>
          <w:lang w:val="pl-PL"/>
        </w:rPr>
      </w:pPr>
    </w:p>
    <w:p w:rsidR="00B564CB" w:rsidRDefault="00F02EF8" w:rsidP="00B564CB">
      <w:pPr>
        <w:spacing w:after="0" w:line="20" w:lineRule="atLeast"/>
        <w:jc w:val="both"/>
        <w:rPr>
          <w:rFonts w:ascii="Times New Roman" w:hAnsi="Times New Roman" w:cs="Times New Roman"/>
          <w:b/>
          <w:sz w:val="24"/>
          <w:szCs w:val="24"/>
          <w:lang w:val="sr-Latn-CS"/>
        </w:rPr>
      </w:pPr>
      <w:r>
        <w:rPr>
          <w:rFonts w:ascii="Times New Roman" w:hAnsi="Times New Roman" w:cs="Times New Roman"/>
          <w:b/>
          <w:sz w:val="24"/>
          <w:szCs w:val="24"/>
          <w:lang w:val="sr-Latn-CS"/>
        </w:rPr>
        <w:t>Ugovorena vrijednost</w:t>
      </w:r>
      <w:r w:rsidR="00B564CB" w:rsidRPr="0017473A">
        <w:rPr>
          <w:rFonts w:ascii="Times New Roman" w:hAnsi="Times New Roman" w:cs="Times New Roman"/>
          <w:b/>
          <w:sz w:val="24"/>
          <w:szCs w:val="24"/>
          <w:lang w:val="sr-Latn-CS"/>
        </w:rPr>
        <w:t xml:space="preserve"> podrazumijeva isporuku FCO NARUČILAC, sa svim troškovima prevoza, špedicije, carinjenja.</w:t>
      </w:r>
    </w:p>
    <w:p w:rsidR="00B564CB" w:rsidRPr="00B43D50" w:rsidRDefault="00B564CB" w:rsidP="00B564CB">
      <w:pPr>
        <w:spacing w:after="0" w:line="20" w:lineRule="atLeast"/>
        <w:jc w:val="both"/>
        <w:rPr>
          <w:rFonts w:ascii="Times New Roman" w:hAnsi="Times New Roman" w:cs="Times New Roman"/>
          <w:sz w:val="24"/>
          <w:szCs w:val="24"/>
          <w:lang w:val="sl-SI"/>
        </w:rPr>
      </w:pP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Pr>
          <w:rFonts w:ascii="Times New Roman" w:hAnsi="Times New Roman" w:cs="Times New Roman"/>
          <w:b/>
          <w:color w:val="000000"/>
          <w:sz w:val="24"/>
          <w:szCs w:val="24"/>
        </w:rPr>
        <w:t xml:space="preserve"> </w:t>
      </w:r>
      <w:r w:rsidRPr="00B43D50">
        <w:rPr>
          <w:rFonts w:ascii="Times New Roman" w:hAnsi="Times New Roman" w:cs="Times New Roman"/>
          <w:sz w:val="24"/>
          <w:szCs w:val="24"/>
          <w:lang w:val="sl-SI"/>
        </w:rPr>
        <w:t xml:space="preserve">Stručni  nadzor nad realizacijom ugovora naručilac će vršiti preko </w:t>
      </w:r>
      <w:r>
        <w:rPr>
          <w:rFonts w:ascii="Times New Roman" w:hAnsi="Times New Roman" w:cs="Times New Roman"/>
          <w:sz w:val="24"/>
          <w:szCs w:val="24"/>
          <w:lang w:val="sl-SI"/>
        </w:rPr>
        <w:t>svojih zaposlenih slu</w:t>
      </w:r>
      <w:r w:rsidR="005F37D5">
        <w:rPr>
          <w:rFonts w:ascii="Times New Roman" w:hAnsi="Times New Roman" w:cs="Times New Roman"/>
          <w:sz w:val="24"/>
          <w:szCs w:val="24"/>
          <w:lang w:val="sl-SI"/>
        </w:rPr>
        <w:t>ž</w:t>
      </w:r>
      <w:r>
        <w:rPr>
          <w:rFonts w:ascii="Times New Roman" w:hAnsi="Times New Roman" w:cs="Times New Roman"/>
          <w:sz w:val="24"/>
          <w:szCs w:val="24"/>
          <w:lang w:val="sl-SI"/>
        </w:rPr>
        <w:t>benika iz oblasti saobraćaja</w:t>
      </w:r>
      <w:r w:rsidRPr="00B43D50">
        <w:rPr>
          <w:rFonts w:ascii="Times New Roman" w:hAnsi="Times New Roman" w:cs="Times New Roman"/>
          <w:sz w:val="24"/>
          <w:szCs w:val="24"/>
          <w:lang w:val="sl-SI"/>
        </w:rPr>
        <w:t>, o čemu će pismeno obavijestiti izvođača.</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Naručilac će danom uvođenja u posao izvođača pismeno obavijestiti  </w:t>
      </w:r>
      <w:r>
        <w:rPr>
          <w:rFonts w:ascii="Times New Roman" w:hAnsi="Times New Roman" w:cs="Times New Roman"/>
          <w:sz w:val="24"/>
          <w:szCs w:val="24"/>
          <w:lang w:val="sl-SI"/>
        </w:rPr>
        <w:t>ko će</w:t>
      </w:r>
      <w:r w:rsidRPr="00B43D50">
        <w:rPr>
          <w:rFonts w:ascii="Times New Roman" w:hAnsi="Times New Roman" w:cs="Times New Roman"/>
          <w:sz w:val="24"/>
          <w:szCs w:val="24"/>
          <w:lang w:val="sl-SI"/>
        </w:rPr>
        <w:t xml:space="preserve"> vršiti  stručni nadzor  nad  izvodjenjem  radova  (u daljem tekstu: Nadzorni organ).</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B564CB" w:rsidRPr="00B43D50" w:rsidRDefault="00B564CB" w:rsidP="00B564CB">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ov1ašćen je da se stara i kontroliše realizaciju ovog ugovora </w:t>
      </w:r>
      <w:r>
        <w:rPr>
          <w:rFonts w:ascii="Times New Roman" w:hAnsi="Times New Roman" w:cs="Times New Roman"/>
          <w:bCs/>
          <w:sz w:val="24"/>
          <w:szCs w:val="24"/>
          <w:lang w:val="sr-Latn-CS"/>
        </w:rPr>
        <w:t>.</w:t>
      </w:r>
    </w:p>
    <w:p w:rsidR="00B564CB" w:rsidRPr="00B43D50" w:rsidRDefault="00B564CB" w:rsidP="00B564CB">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B564CB" w:rsidRPr="00B43D50" w:rsidRDefault="00B564CB" w:rsidP="00B564CB">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Izvodjača od njegove obaveze i odgovornosti za pravilno izvodjenje radova.</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utvrdjuje izvodjač u prisustvu Nadzornog organa i podatke unosi u gradjevinsku knjigu.</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lastRenderedPageBreak/>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B564CB" w:rsidRPr="00B43D50" w:rsidRDefault="00B564CB" w:rsidP="00B564CB">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B564CB" w:rsidRPr="00B43D50" w:rsidRDefault="00B564CB" w:rsidP="00B564CB">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B43D50">
        <w:rPr>
          <w:rFonts w:ascii="Times New Roman" w:hAnsi="Times New Roman" w:cs="Times New Roman"/>
          <w:sz w:val="24"/>
          <w:szCs w:val="24"/>
          <w:lang w:val="pl-PL"/>
        </w:rPr>
        <w:t xml:space="preserve">opisom, bitnim karakterstikama i obimom definisanim tenderskom dokumentacijom </w:t>
      </w:r>
      <w:r w:rsidRPr="00B43D50">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B564CB" w:rsidRPr="00B43D50" w:rsidRDefault="00B564CB" w:rsidP="00B564CB">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B43D50">
        <w:rPr>
          <w:rFonts w:ascii="Times New Roman" w:hAnsi="Times New Roman" w:cs="Times New Roman"/>
          <w:sz w:val="24"/>
          <w:szCs w:val="24"/>
          <w:lang w:val="pl-PL"/>
        </w:rPr>
        <w:t>opisima, bitnim karakterstikama i obimom definisanim tenderskom dokumentacijom.</w:t>
      </w:r>
    </w:p>
    <w:p w:rsidR="00B564CB" w:rsidRPr="00B43D50" w:rsidRDefault="00B564CB" w:rsidP="00B564CB">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Troškove ovog ispitivanja plaća izvodjač koji ima pravo da traži njihovu nadoknadu od naručioca, ako ovaj nije bio u pravu.</w:t>
      </w:r>
    </w:p>
    <w:p w:rsidR="00B564CB" w:rsidRDefault="00B564CB" w:rsidP="00B564CB">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izvodjač mora o svom trošku da ukloni sa gradilišta u roku koji mu odredi Nadzorni organ.</w:t>
      </w:r>
    </w:p>
    <w:p w:rsidR="00B564CB" w:rsidRDefault="00B564CB" w:rsidP="00B564CB">
      <w:pPr>
        <w:spacing w:after="0" w:line="20" w:lineRule="atLeast"/>
        <w:jc w:val="both"/>
        <w:rPr>
          <w:rFonts w:ascii="Times New Roman" w:eastAsia="Times New Roman" w:hAnsi="Times New Roman" w:cs="Times New Roman"/>
          <w:sz w:val="24"/>
          <w:szCs w:val="24"/>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w:t>
      </w:r>
      <w:r w:rsidRPr="00824E25">
        <w:rPr>
          <w:rFonts w:ascii="Times New Roman" w:eastAsia="Times New Roman" w:hAnsi="Times New Roman" w:cs="Times New Roman"/>
          <w:sz w:val="24"/>
          <w:szCs w:val="24"/>
        </w:rPr>
        <w:t>Ponuđači su dužni dostaviti CE Sertifikat o usklađenosti za saobraćajne znakove kojim se dokazuje da znakovi ispunjavaju sve propisane zahtjeve sa Standardom MEST EN 12899-1:2009</w:t>
      </w:r>
    </w:p>
    <w:p w:rsidR="00B564CB" w:rsidRPr="00B43D50" w:rsidRDefault="00B564CB" w:rsidP="00B564CB">
      <w:pPr>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rPr>
        <w:t>S</w:t>
      </w:r>
      <w:r w:rsidRPr="00B43D50">
        <w:rPr>
          <w:rFonts w:ascii="Times New Roman" w:hAnsi="Times New Roman" w:cs="Times New Roman"/>
          <w:sz w:val="24"/>
          <w:szCs w:val="24"/>
        </w:rPr>
        <w:t xml:space="preserve">av </w:t>
      </w:r>
      <w:r>
        <w:rPr>
          <w:rFonts w:ascii="Times New Roman" w:hAnsi="Times New Roman" w:cs="Times New Roman"/>
          <w:sz w:val="24"/>
          <w:szCs w:val="24"/>
        </w:rPr>
        <w:t xml:space="preserve">ugrađeni </w:t>
      </w:r>
      <w:r w:rsidRPr="00B43D50">
        <w:rPr>
          <w:rFonts w:ascii="Times New Roman" w:hAnsi="Times New Roman" w:cs="Times New Roman"/>
          <w:sz w:val="24"/>
          <w:szCs w:val="24"/>
        </w:rPr>
        <w:t xml:space="preserve">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 snosi Izvodjač.</w:t>
      </w:r>
    </w:p>
    <w:p w:rsidR="00B564CB" w:rsidRPr="00B43D50" w:rsidRDefault="00B564CB" w:rsidP="00B564CB">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Izvođač je dužan da  prije zaključivanja ovog ugovora dostavi naručiocu:</w:t>
      </w:r>
    </w:p>
    <w:p w:rsidR="00B564CB" w:rsidRPr="00B43D50" w:rsidRDefault="00B564CB" w:rsidP="00B564CB">
      <w:pPr>
        <w:autoSpaceDE w:val="0"/>
        <w:autoSpaceDN w:val="0"/>
        <w:adjustRightInd w:val="0"/>
        <w:spacing w:after="0" w:line="240" w:lineRule="auto"/>
        <w:jc w:val="both"/>
        <w:rPr>
          <w:rFonts w:ascii="Times New Roman" w:hAnsi="Times New Roman" w:cs="Times New Roman"/>
          <w:sz w:val="24"/>
          <w:szCs w:val="24"/>
        </w:rPr>
      </w:pPr>
      <w:r w:rsidRPr="00B43D50">
        <w:rPr>
          <w:rFonts w:ascii="Times New Roman" w:hAnsi="Times New Roman" w:cs="Times New Roman"/>
          <w:sz w:val="24"/>
          <w:szCs w:val="24"/>
        </w:rPr>
        <w:t xml:space="preserve">-  garanciju za dobro izvršenje ugovora u iznosu od 5% od vrijednosti ugovora, sa rokom važnosti </w:t>
      </w:r>
      <w:r w:rsidRPr="00B43D50">
        <w:rPr>
          <w:rFonts w:ascii="Times New Roman" w:hAnsi="Times New Roman" w:cs="Times New Roman"/>
          <w:color w:val="000000"/>
          <w:sz w:val="24"/>
          <w:szCs w:val="24"/>
        </w:rPr>
        <w:t xml:space="preserve">za vrijeme </w:t>
      </w:r>
      <w:r w:rsidRPr="00B43D50">
        <w:rPr>
          <w:rFonts w:ascii="Times New Roman" w:hAnsi="Times New Roman" w:cs="Times New Roman"/>
          <w:iCs/>
          <w:sz w:val="24"/>
          <w:szCs w:val="24"/>
          <w:lang w:val="sr-Latn-CS"/>
        </w:rPr>
        <w:t>roka izvršenja Ugovora</w:t>
      </w:r>
      <w:r w:rsidRPr="00B43D50">
        <w:rPr>
          <w:rFonts w:ascii="Times New Roman" w:hAnsi="Times New Roman" w:cs="Times New Roman"/>
          <w:color w:val="000000"/>
          <w:sz w:val="24"/>
          <w:szCs w:val="24"/>
        </w:rPr>
        <w:t>.</w:t>
      </w:r>
      <w:r w:rsidRPr="00B43D50">
        <w:rPr>
          <w:rFonts w:ascii="Times New Roman" w:hAnsi="Times New Roman" w:cs="Times New Roman"/>
          <w:sz w:val="24"/>
          <w:szCs w:val="24"/>
          <w:lang w:val="es-ES"/>
        </w:rPr>
        <w:t xml:space="preserve"> Ova garancija mora da je bezuslovna i plativa na prvi poziv naručioca nakon nastanka razloga na koji se odnosi.</w:t>
      </w:r>
      <w:r w:rsidRPr="00B43D5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B564CB" w:rsidRPr="00B43D50" w:rsidRDefault="00B564CB" w:rsidP="00B564CB">
      <w:pPr>
        <w:spacing w:after="0" w:line="20" w:lineRule="atLeast"/>
        <w:jc w:val="both"/>
        <w:rPr>
          <w:rFonts w:ascii="Times New Roman" w:hAnsi="Times New Roman" w:cs="Times New Roman"/>
          <w:sz w:val="24"/>
          <w:szCs w:val="24"/>
          <w:lang w:val="es-ES"/>
        </w:rPr>
      </w:pPr>
    </w:p>
    <w:p w:rsidR="00211EF6" w:rsidRDefault="00B564CB" w:rsidP="00B564CB">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xml:space="preserve">: </w:t>
      </w:r>
      <w:r w:rsidR="00211EF6">
        <w:rPr>
          <w:rFonts w:ascii="Times New Roman" w:hAnsi="Times New Roman" w:cs="Times New Roman"/>
          <w:sz w:val="24"/>
          <w:szCs w:val="24"/>
        </w:rPr>
        <w:t>3</w:t>
      </w:r>
      <w:r w:rsidRPr="00B43D50">
        <w:rPr>
          <w:rFonts w:ascii="Times New Roman" w:hAnsi="Times New Roman" w:cs="Times New Roman"/>
          <w:sz w:val="24"/>
          <w:szCs w:val="24"/>
        </w:rPr>
        <w:t xml:space="preserve"> godine od dana primopredaje izvedenih radova</w:t>
      </w:r>
      <w:r w:rsidR="00211EF6">
        <w:rPr>
          <w:rFonts w:ascii="Times New Roman" w:hAnsi="Times New Roman" w:cs="Times New Roman"/>
          <w:sz w:val="24"/>
          <w:szCs w:val="24"/>
        </w:rPr>
        <w:t xml:space="preserve"> horizontalne i vertikalne signalizacije</w:t>
      </w:r>
      <w:r w:rsidRPr="00B43D50">
        <w:rPr>
          <w:rFonts w:ascii="Times New Roman" w:hAnsi="Times New Roman" w:cs="Times New Roman"/>
          <w:sz w:val="24"/>
          <w:szCs w:val="24"/>
        </w:rPr>
        <w:t xml:space="preserve">. </w:t>
      </w:r>
    </w:p>
    <w:p w:rsidR="00B564CB" w:rsidRDefault="00B564CB" w:rsidP="00B564CB">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Izvodjač je dužan da o svom trošku otkloni sve nedostatke na izvedenim radovima, koji se pokažu u toku garantnog roka u roku u dva dana opd dana dostavljanja zahtjeva o otklanjanju nedostataka od strane Naručioca. </w:t>
      </w:r>
    </w:p>
    <w:p w:rsidR="00B564CB" w:rsidRPr="00B43D50" w:rsidRDefault="00B564CB" w:rsidP="00B564CB">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 </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Obavijest da su radovi završeni izvodjač podnosi naručiocu preko Nadzornog organa.</w:t>
      </w:r>
    </w:p>
    <w:p w:rsidR="00B564CB" w:rsidRPr="00B43D50" w:rsidRDefault="00B564CB" w:rsidP="00B564CB">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B564CB" w:rsidRPr="00B43D50"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B564CB" w:rsidRPr="00B43D50"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B564CB" w:rsidRPr="00B43D50"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lastRenderedPageBreak/>
        <w:t>Ugovor se ne može raskinuti zbog neispunjenja neznatnog dijela ugovorene obaveze.</w:t>
      </w:r>
    </w:p>
    <w:p w:rsidR="00B564CB"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B564CB" w:rsidRPr="00B43D50" w:rsidRDefault="00B564CB" w:rsidP="00B564CB">
      <w:pPr>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B564CB" w:rsidRPr="00B43D50"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B564CB" w:rsidRDefault="00B564CB" w:rsidP="00B564CB">
      <w:pPr>
        <w:spacing w:after="0" w:line="20" w:lineRule="atLeast"/>
        <w:jc w:val="both"/>
        <w:rPr>
          <w:rFonts w:ascii="Times New Roman" w:hAnsi="Times New Roman" w:cs="Times New Roman"/>
          <w:color w:val="000000"/>
          <w:sz w:val="24"/>
          <w:szCs w:val="24"/>
          <w:lang w:val="pl-PL"/>
        </w:rPr>
      </w:pPr>
      <w:r w:rsidRPr="00B564CB">
        <w:rPr>
          <w:rFonts w:ascii="Times New Roman" w:hAnsi="Times New Roman" w:cs="Times New Roman"/>
          <w:color w:val="000000"/>
          <w:sz w:val="24"/>
          <w:szCs w:val="24"/>
          <w:lang w:val="pl-PL"/>
        </w:rPr>
        <w:t>Ukoliko se nastali spor ne riješi sporazumno, za rješavanje spora određuje se nadležni sud</w:t>
      </w:r>
      <w:r w:rsidRPr="00B564CB">
        <w:rPr>
          <w:rFonts w:ascii="Times New Roman" w:hAnsi="Times New Roman" w:cs="Times New Roman"/>
          <w:b/>
          <w:color w:val="000000"/>
          <w:sz w:val="24"/>
          <w:szCs w:val="24"/>
          <w:lang w:val="pl-PL"/>
        </w:rPr>
        <w:t xml:space="preserve"> </w:t>
      </w:r>
      <w:r w:rsidRPr="00B564CB">
        <w:rPr>
          <w:rFonts w:ascii="Times New Roman" w:hAnsi="Times New Roman" w:cs="Times New Roman"/>
          <w:color w:val="000000"/>
          <w:sz w:val="24"/>
          <w:szCs w:val="24"/>
          <w:lang w:val="pl-PL"/>
        </w:rPr>
        <w:t>u Podgorici.</w:t>
      </w:r>
    </w:p>
    <w:p w:rsidR="00B564CB" w:rsidRPr="00B43D50" w:rsidRDefault="00B564CB" w:rsidP="00B564C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1500DC" w:rsidRDefault="00B564CB" w:rsidP="008310D9">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bookmarkEnd w:id="5"/>
    <w:p w:rsidR="00FC625F" w:rsidRDefault="00FC625F" w:rsidP="005B2F32"/>
    <w:p w:rsidR="00FC625F" w:rsidRDefault="00FC625F"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CD34B7" w:rsidRDefault="00CD34B7" w:rsidP="005B2F32"/>
    <w:p w:rsidR="00FC625F" w:rsidRPr="00852493" w:rsidRDefault="00FC625F" w:rsidP="00FC62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1200697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8"/>
    </w:p>
    <w:p w:rsidR="00FC625F" w:rsidRPr="00852493" w:rsidRDefault="00FC625F" w:rsidP="00FC625F">
      <w:pPr>
        <w:tabs>
          <w:tab w:val="left" w:pos="1950"/>
        </w:tabs>
        <w:rPr>
          <w:rFonts w:ascii="Times New Roman" w:hAnsi="Times New Roman" w:cs="Times New Roman"/>
          <w:color w:val="000000"/>
        </w:rPr>
      </w:pPr>
    </w:p>
    <w:p w:rsidR="00FC625F" w:rsidRDefault="00FC625F" w:rsidP="00FC625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625F" w:rsidRDefault="00FC625F" w:rsidP="00FC625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D34B7">
        <w:rPr>
          <w:rFonts w:ascii="Times New Roman" w:hAnsi="Times New Roman" w:cs="Times New Roman"/>
          <w:color w:val="000000"/>
          <w:sz w:val="24"/>
          <w:szCs w:val="24"/>
          <w:lang w:val="pl-PL"/>
        </w:rPr>
        <w:t>1806</w:t>
      </w:r>
    </w:p>
    <w:p w:rsidR="00FC625F" w:rsidRPr="00852493" w:rsidRDefault="00FC625F" w:rsidP="00FC625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D34B7">
        <w:rPr>
          <w:rFonts w:ascii="Times New Roman" w:hAnsi="Times New Roman" w:cs="Times New Roman"/>
          <w:color w:val="000000"/>
          <w:sz w:val="24"/>
          <w:szCs w:val="24"/>
          <w:lang w:val="pl-PL"/>
        </w:rPr>
        <w:t>26.06.</w:t>
      </w:r>
      <w:r>
        <w:rPr>
          <w:rFonts w:ascii="Times New Roman" w:hAnsi="Times New Roman" w:cs="Times New Roman"/>
          <w:color w:val="000000"/>
          <w:sz w:val="24"/>
          <w:szCs w:val="24"/>
          <w:lang w:val="pl-PL"/>
        </w:rPr>
        <w:t>2019. godine</w:t>
      </w:r>
    </w:p>
    <w:p w:rsidR="00FC625F" w:rsidRPr="007D34F3" w:rsidRDefault="00FC625F" w:rsidP="00FC625F">
      <w:pPr>
        <w:spacing w:after="0" w:line="240" w:lineRule="auto"/>
        <w:jc w:val="both"/>
        <w:rPr>
          <w:rFonts w:ascii="Times New Roman" w:hAnsi="Times New Roman" w:cs="Times New Roman"/>
          <w:color w:val="000000"/>
          <w:sz w:val="24"/>
          <w:szCs w:val="24"/>
          <w:lang w:val="pl-PL"/>
        </w:rPr>
      </w:pPr>
    </w:p>
    <w:p w:rsidR="00FC625F" w:rsidRPr="00852493" w:rsidRDefault="00FC625F" w:rsidP="00FC625F">
      <w:pPr>
        <w:spacing w:after="0" w:line="240" w:lineRule="auto"/>
        <w:jc w:val="both"/>
        <w:rPr>
          <w:rFonts w:ascii="Times New Roman" w:hAnsi="Times New Roman" w:cs="Times New Roman"/>
          <w:color w:val="000000"/>
          <w:sz w:val="24"/>
          <w:szCs w:val="24"/>
          <w:lang w:val="pl-PL"/>
        </w:rPr>
      </w:pPr>
    </w:p>
    <w:p w:rsidR="00FC625F" w:rsidRPr="00852493" w:rsidRDefault="00FC625F" w:rsidP="00FC625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Predsjednik, kao ovlašćeno lice Opštine Bar, daje</w:t>
      </w:r>
    </w:p>
    <w:p w:rsidR="00FC625F" w:rsidRPr="00852493" w:rsidRDefault="00FC625F" w:rsidP="00FC625F">
      <w:pPr>
        <w:spacing w:after="0" w:line="240" w:lineRule="auto"/>
        <w:jc w:val="both"/>
        <w:rPr>
          <w:rFonts w:ascii="Times New Roman" w:hAnsi="Times New Roman" w:cs="Times New Roman"/>
          <w:color w:val="000000"/>
          <w:sz w:val="24"/>
          <w:szCs w:val="24"/>
          <w:lang w:val="pl-PL"/>
        </w:rPr>
      </w:pPr>
    </w:p>
    <w:p w:rsidR="00FC625F" w:rsidRDefault="00FC625F" w:rsidP="00FC625F">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FC625F" w:rsidRPr="00852493" w:rsidRDefault="00FC625F" w:rsidP="00FC625F">
      <w:pPr>
        <w:spacing w:after="0" w:line="240" w:lineRule="auto"/>
        <w:jc w:val="center"/>
        <w:rPr>
          <w:rFonts w:ascii="Times New Roman" w:hAnsi="Times New Roman" w:cs="Times New Roman"/>
          <w:b/>
          <w:bCs/>
          <w:color w:val="000000"/>
          <w:sz w:val="32"/>
          <w:szCs w:val="32"/>
          <w:lang w:val="pl-PL"/>
        </w:rPr>
      </w:pPr>
    </w:p>
    <w:p w:rsidR="00FC625F" w:rsidRPr="00852493" w:rsidRDefault="00FC625F" w:rsidP="00FC625F">
      <w:pPr>
        <w:spacing w:after="0" w:line="240" w:lineRule="auto"/>
        <w:jc w:val="both"/>
        <w:rPr>
          <w:rFonts w:ascii="Times New Roman" w:hAnsi="Times New Roman" w:cs="Times New Roman"/>
          <w:color w:val="000000"/>
          <w:sz w:val="24"/>
          <w:szCs w:val="24"/>
          <w:lang w:val="pl-PL"/>
        </w:rPr>
      </w:pPr>
    </w:p>
    <w:p w:rsidR="00FC625F" w:rsidRPr="007D34F3" w:rsidRDefault="00FC625F" w:rsidP="00FC625F">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Pr="001500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01-1391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15.05.2019</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godine</w:t>
      </w:r>
      <w:r w:rsidRPr="007D34F3">
        <w:rPr>
          <w:rFonts w:ascii="Times New Roman" w:hAnsi="Times New Roman" w:cs="Times New Roman"/>
          <w:color w:val="000000"/>
          <w:sz w:val="24"/>
          <w:szCs w:val="24"/>
          <w:lang w:val="pl-PL"/>
        </w:rPr>
        <w:t xml:space="preserve"> i Ugovora o javnoj nabavci</w:t>
      </w:r>
      <w:r>
        <w:rPr>
          <w:rFonts w:ascii="Times New Roman" w:hAnsi="Times New Roman" w:cs="Times New Roman"/>
          <w:color w:val="000000"/>
          <w:sz w:val="24"/>
          <w:szCs w:val="24"/>
          <w:lang w:val="pl-PL"/>
        </w:rPr>
        <w:t xml:space="preserve"> za </w:t>
      </w:r>
      <w:r>
        <w:rPr>
          <w:rFonts w:ascii="Times New Roman" w:hAnsi="Times New Roman" w:cs="Times New Roman"/>
          <w:color w:val="000000"/>
          <w:sz w:val="24"/>
          <w:szCs w:val="24"/>
        </w:rPr>
        <w:t xml:space="preserve">izvođenje </w:t>
      </w:r>
      <w:r w:rsidRPr="00BC6173">
        <w:rPr>
          <w:rFonts w:ascii="Times New Roman" w:hAnsi="Times New Roman" w:cs="Times New Roman"/>
          <w:sz w:val="24"/>
          <w:szCs w:val="24"/>
        </w:rPr>
        <w:t xml:space="preserve">radova </w:t>
      </w:r>
      <w:r w:rsidRPr="00882988">
        <w:rPr>
          <w:rFonts w:ascii="Times New Roman" w:hAnsi="Times New Roman" w:cs="Times New Roman"/>
          <w:sz w:val="24"/>
          <w:szCs w:val="24"/>
        </w:rPr>
        <w:t>na horizontalnoj signalizaciji i nabavka i ugradnja vertikalne signalizacije (saobraćajni znakovi)</w:t>
      </w:r>
      <w:r w:rsidRPr="007D34F3">
        <w:rPr>
          <w:rFonts w:ascii="Times New Roman" w:hAnsi="Times New Roman" w:cs="Times New Roman"/>
          <w:color w:val="000000"/>
          <w:sz w:val="24"/>
          <w:szCs w:val="24"/>
          <w:lang w:val="pl-PL"/>
        </w:rPr>
        <w:t>, uredno vršiti plaćanja preuzetih obaveza, po utvrđenoj dinamici.</w:t>
      </w:r>
    </w:p>
    <w:p w:rsidR="00FC625F" w:rsidRPr="007D34F3" w:rsidRDefault="00FC625F" w:rsidP="00FC625F">
      <w:pPr>
        <w:spacing w:after="0" w:line="240" w:lineRule="auto"/>
        <w:jc w:val="both"/>
        <w:rPr>
          <w:rFonts w:ascii="Times New Roman" w:hAnsi="Times New Roman" w:cs="Times New Roman"/>
          <w:color w:val="000000"/>
          <w:sz w:val="24"/>
          <w:szCs w:val="24"/>
          <w:lang w:val="pl-PL"/>
        </w:rPr>
      </w:pPr>
    </w:p>
    <w:p w:rsidR="00FC625F" w:rsidRPr="007D34F3" w:rsidRDefault="00FC625F" w:rsidP="00FC625F">
      <w:pPr>
        <w:pStyle w:val="BodyText"/>
        <w:ind w:left="360"/>
        <w:rPr>
          <w:i/>
          <w:iCs/>
          <w:color w:val="000000"/>
          <w:sz w:val="24"/>
          <w:szCs w:val="24"/>
          <w:lang w:val="sr-Latn-CS"/>
        </w:rPr>
      </w:pPr>
    </w:p>
    <w:p w:rsidR="00FC625F" w:rsidRPr="00852493" w:rsidRDefault="00FC625F" w:rsidP="00FC625F">
      <w:pPr>
        <w:tabs>
          <w:tab w:val="left" w:pos="1950"/>
        </w:tabs>
        <w:rPr>
          <w:rFonts w:ascii="Times New Roman" w:hAnsi="Times New Roman" w:cs="Times New Roman"/>
          <w:color w:val="000000"/>
        </w:rPr>
      </w:pPr>
    </w:p>
    <w:p w:rsidR="00FC625F" w:rsidRPr="007D34F3" w:rsidRDefault="00FC625F" w:rsidP="00FC625F">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FC625F" w:rsidRDefault="00FC625F" w:rsidP="00FC625F">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FC625F" w:rsidRDefault="00FC625F" w:rsidP="00FC625F">
      <w:pPr>
        <w:spacing w:after="0" w:line="240" w:lineRule="auto"/>
        <w:ind w:left="2124" w:firstLine="708"/>
        <w:jc w:val="center"/>
        <w:rPr>
          <w:rFonts w:ascii="Times New Roman" w:hAnsi="Times New Roman" w:cs="Times New Roman"/>
          <w:color w:val="000000"/>
          <w:sz w:val="24"/>
          <w:szCs w:val="24"/>
          <w:lang w:val="pl-PL"/>
        </w:rPr>
      </w:pPr>
    </w:p>
    <w:p w:rsidR="00FC625F" w:rsidRPr="00852493" w:rsidRDefault="00FC625F" w:rsidP="00FC625F">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FC625F" w:rsidRPr="00852493" w:rsidRDefault="00FC625F" w:rsidP="00FC625F">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FC625F" w:rsidRDefault="00FC625F"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Default="00CD34B7" w:rsidP="00FC625F">
      <w:pPr>
        <w:rPr>
          <w:rFonts w:ascii="Times New Roman" w:hAnsi="Times New Roman" w:cs="Times New Roman"/>
          <w:b/>
          <w:bCs/>
          <w:color w:val="000000"/>
          <w:sz w:val="28"/>
          <w:szCs w:val="28"/>
        </w:rPr>
      </w:pPr>
    </w:p>
    <w:p w:rsidR="00CD34B7" w:rsidRPr="00852493" w:rsidRDefault="00CD34B7" w:rsidP="00FC625F">
      <w:pPr>
        <w:rPr>
          <w:rFonts w:ascii="Times New Roman" w:hAnsi="Times New Roman" w:cs="Times New Roman"/>
          <w:b/>
          <w:bCs/>
          <w:color w:val="000000"/>
          <w:sz w:val="28"/>
          <w:szCs w:val="28"/>
        </w:rPr>
      </w:pPr>
    </w:p>
    <w:p w:rsidR="00FC625F" w:rsidRPr="00852493" w:rsidRDefault="00FC625F" w:rsidP="00FC62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1200697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p>
    <w:p w:rsidR="00FC625F" w:rsidRPr="00852493" w:rsidRDefault="00FC625F" w:rsidP="00FC625F">
      <w:pPr>
        <w:spacing w:after="0" w:line="240" w:lineRule="auto"/>
        <w:rPr>
          <w:rFonts w:ascii="Times New Roman" w:hAnsi="Times New Roman" w:cs="Times New Roman"/>
          <w:b/>
          <w:bCs/>
          <w:color w:val="000000"/>
          <w:sz w:val="28"/>
          <w:szCs w:val="28"/>
          <w:lang w:val="sr-Latn-CS"/>
        </w:rPr>
      </w:pPr>
    </w:p>
    <w:p w:rsidR="00FC625F" w:rsidRPr="00852493" w:rsidRDefault="00FC625F" w:rsidP="00FC625F">
      <w:pPr>
        <w:spacing w:after="0" w:line="240" w:lineRule="auto"/>
        <w:rPr>
          <w:rFonts w:ascii="Times New Roman" w:hAnsi="Times New Roman" w:cs="Times New Roman"/>
          <w:b/>
          <w:bCs/>
          <w:color w:val="000000"/>
          <w:sz w:val="24"/>
          <w:szCs w:val="24"/>
          <w:lang w:val="sr-Latn-CS"/>
        </w:rPr>
      </w:pPr>
    </w:p>
    <w:p w:rsidR="00FC625F" w:rsidRDefault="00FC625F" w:rsidP="00FC625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625F" w:rsidRDefault="00FC625F" w:rsidP="00FC625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D34B7">
        <w:rPr>
          <w:rFonts w:ascii="Times New Roman" w:hAnsi="Times New Roman" w:cs="Times New Roman"/>
          <w:color w:val="000000"/>
          <w:sz w:val="24"/>
          <w:szCs w:val="24"/>
          <w:lang w:val="pl-PL"/>
        </w:rPr>
        <w:t>1806/1</w:t>
      </w:r>
    </w:p>
    <w:p w:rsidR="00FC625F" w:rsidRPr="00852493" w:rsidRDefault="00FC625F" w:rsidP="00FC625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D34B7">
        <w:rPr>
          <w:rFonts w:ascii="Times New Roman" w:hAnsi="Times New Roman" w:cs="Times New Roman"/>
          <w:color w:val="000000"/>
          <w:sz w:val="24"/>
          <w:szCs w:val="24"/>
          <w:lang w:val="pl-PL"/>
        </w:rPr>
        <w:t>26.06.</w:t>
      </w:r>
      <w:r>
        <w:rPr>
          <w:rFonts w:ascii="Times New Roman" w:hAnsi="Times New Roman" w:cs="Times New Roman"/>
          <w:color w:val="000000"/>
          <w:sz w:val="24"/>
          <w:szCs w:val="24"/>
          <w:lang w:val="pl-PL"/>
        </w:rPr>
        <w:t>2019. godine</w:t>
      </w:r>
    </w:p>
    <w:p w:rsidR="00FC625F" w:rsidRPr="00852493" w:rsidRDefault="00FC625F" w:rsidP="00FC625F">
      <w:pPr>
        <w:spacing w:after="0" w:line="240" w:lineRule="auto"/>
        <w:rPr>
          <w:rFonts w:ascii="Times New Roman" w:hAnsi="Times New Roman" w:cs="Times New Roman"/>
          <w:b/>
          <w:bCs/>
          <w:color w:val="000000"/>
          <w:sz w:val="24"/>
          <w:szCs w:val="24"/>
          <w:lang w:val="sr-Latn-CS"/>
        </w:rPr>
      </w:pPr>
    </w:p>
    <w:p w:rsidR="00FC625F" w:rsidRPr="00852493" w:rsidRDefault="00FC625F" w:rsidP="00FC625F">
      <w:pPr>
        <w:spacing w:after="0" w:line="240" w:lineRule="auto"/>
        <w:rPr>
          <w:rFonts w:ascii="Times New Roman" w:hAnsi="Times New Roman" w:cs="Times New Roman"/>
          <w:b/>
          <w:bCs/>
          <w:color w:val="000000"/>
          <w:sz w:val="24"/>
          <w:szCs w:val="24"/>
          <w:lang w:val="sr-Latn-CS"/>
        </w:rPr>
      </w:pPr>
    </w:p>
    <w:p w:rsidR="00FC625F" w:rsidRPr="00852493" w:rsidRDefault="00FC625F" w:rsidP="00FC625F">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 xml:space="preserve">, 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01-1391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15.05.2019</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godine</w:t>
      </w:r>
      <w:r>
        <w:rPr>
          <w:rFonts w:ascii="Times New Roman" w:hAnsi="Times New Roman" w:cs="Times New Roman"/>
          <w:color w:val="000000"/>
          <w:sz w:val="24"/>
          <w:szCs w:val="24"/>
        </w:rPr>
        <w:t xml:space="preserve"> za izvođenje </w:t>
      </w:r>
      <w:r w:rsidRPr="00BC6173">
        <w:rPr>
          <w:rFonts w:ascii="Times New Roman" w:hAnsi="Times New Roman" w:cs="Times New Roman"/>
          <w:sz w:val="24"/>
          <w:szCs w:val="24"/>
        </w:rPr>
        <w:t xml:space="preserve">radova </w:t>
      </w:r>
      <w:r w:rsidRPr="00882988">
        <w:rPr>
          <w:rFonts w:ascii="Times New Roman" w:hAnsi="Times New Roman" w:cs="Times New Roman"/>
          <w:sz w:val="24"/>
          <w:szCs w:val="24"/>
        </w:rPr>
        <w:t>na horizontalnoj signalizaciji i nabavka i ugradnja vertikalne signalizacije (saobraćajni znakovi)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C625F" w:rsidRPr="00852493" w:rsidRDefault="00FC625F" w:rsidP="00FC625F">
      <w:pPr>
        <w:spacing w:after="160" w:line="259" w:lineRule="auto"/>
        <w:jc w:val="both"/>
        <w:rPr>
          <w:rFonts w:ascii="Times New Roman" w:hAnsi="Times New Roman" w:cs="Times New Roman"/>
          <w:color w:val="000000"/>
          <w:sz w:val="23"/>
          <w:szCs w:val="23"/>
        </w:rPr>
      </w:pPr>
    </w:p>
    <w:p w:rsidR="00FC625F" w:rsidRDefault="00FC625F" w:rsidP="00FC625F">
      <w:pPr>
        <w:spacing w:after="0" w:line="240" w:lineRule="auto"/>
        <w:jc w:val="right"/>
        <w:rPr>
          <w:rFonts w:ascii="Times New Roman" w:hAnsi="Times New Roman" w:cs="Times New Roman"/>
          <w:color w:val="000000"/>
          <w:sz w:val="24"/>
          <w:szCs w:val="24"/>
        </w:rPr>
      </w:pPr>
    </w:p>
    <w:p w:rsidR="00FC625F" w:rsidRPr="00852493" w:rsidRDefault="00FC625F" w:rsidP="00FC625F">
      <w:pPr>
        <w:spacing w:after="160" w:line="259" w:lineRule="auto"/>
        <w:jc w:val="both"/>
        <w:rPr>
          <w:rFonts w:ascii="Times New Roman" w:hAnsi="Times New Roman" w:cs="Times New Roman"/>
          <w:color w:val="000000"/>
          <w:sz w:val="23"/>
          <w:szCs w:val="23"/>
        </w:rPr>
      </w:pP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Default="00FC625F" w:rsidP="00FC625F">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FC625F" w:rsidRDefault="00FC625F" w:rsidP="00FC625F">
      <w:pPr>
        <w:spacing w:after="0" w:line="240" w:lineRule="auto"/>
        <w:ind w:firstLine="1134"/>
        <w:rPr>
          <w:rFonts w:ascii="Times New Roman" w:hAnsi="Times New Roman" w:cs="Times New Roman"/>
          <w:color w:val="000000"/>
          <w:sz w:val="24"/>
          <w:szCs w:val="24"/>
          <w:lang w:val="pl-PL"/>
        </w:rPr>
      </w:pPr>
    </w:p>
    <w:p w:rsidR="00FC625F" w:rsidRPr="00107D36" w:rsidRDefault="00FC625F" w:rsidP="00FC625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FC625F" w:rsidRDefault="00FC625F" w:rsidP="00FC625F">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FC625F" w:rsidRDefault="00FC625F" w:rsidP="00FC625F">
      <w:pPr>
        <w:spacing w:after="0" w:line="240" w:lineRule="auto"/>
        <w:ind w:left="5664" w:firstLine="708"/>
        <w:jc w:val="center"/>
        <w:rPr>
          <w:rFonts w:ascii="Times New Roman" w:hAnsi="Times New Roman" w:cs="Times New Roman"/>
          <w:i/>
          <w:iCs/>
          <w:color w:val="000000"/>
          <w:sz w:val="20"/>
          <w:szCs w:val="20"/>
        </w:rPr>
      </w:pPr>
    </w:p>
    <w:p w:rsidR="00FC625F" w:rsidRDefault="00FC625F" w:rsidP="00FC625F">
      <w:pPr>
        <w:spacing w:after="0" w:line="240" w:lineRule="auto"/>
        <w:jc w:val="right"/>
        <w:rPr>
          <w:rFonts w:ascii="Times New Roman" w:hAnsi="Times New Roman" w:cs="Times New Roman"/>
          <w:color w:val="000000"/>
          <w:sz w:val="24"/>
          <w:szCs w:val="24"/>
        </w:rPr>
      </w:pPr>
    </w:p>
    <w:p w:rsidR="00FC625F" w:rsidRDefault="00FC625F" w:rsidP="00FC62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FC625F" w:rsidRDefault="00FC625F" w:rsidP="00FC625F">
      <w:pPr>
        <w:spacing w:after="0" w:line="240" w:lineRule="auto"/>
        <w:ind w:left="3600"/>
        <w:rPr>
          <w:rFonts w:ascii="Times New Roman" w:hAnsi="Times New Roman" w:cs="Times New Roman"/>
          <w:color w:val="000000"/>
          <w:sz w:val="24"/>
          <w:szCs w:val="24"/>
        </w:rPr>
      </w:pPr>
    </w:p>
    <w:p w:rsidR="00FC625F" w:rsidRPr="00107D36" w:rsidRDefault="00FC625F" w:rsidP="00FC625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FC625F" w:rsidRDefault="00FC625F" w:rsidP="00FC625F">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FC625F" w:rsidRDefault="00FC625F" w:rsidP="00FC625F">
      <w:pPr>
        <w:spacing w:after="0" w:line="240" w:lineRule="auto"/>
        <w:jc w:val="right"/>
        <w:rPr>
          <w:rFonts w:ascii="Times New Roman" w:hAnsi="Times New Roman" w:cs="Times New Roman"/>
          <w:color w:val="000000"/>
          <w:sz w:val="24"/>
          <w:szCs w:val="24"/>
        </w:rPr>
      </w:pPr>
    </w:p>
    <w:p w:rsidR="00FC625F" w:rsidRPr="00852493" w:rsidRDefault="00FC625F" w:rsidP="00FC625F">
      <w:pPr>
        <w:rPr>
          <w:rFonts w:ascii="Times New Roman" w:hAnsi="Times New Roman" w:cs="Times New Roman"/>
          <w:i/>
          <w:iCs/>
          <w:color w:val="000000"/>
        </w:rPr>
      </w:pPr>
      <w:r w:rsidRPr="00852493">
        <w:rPr>
          <w:rFonts w:ascii="Times New Roman" w:hAnsi="Times New Roman" w:cs="Times New Roman"/>
          <w:i/>
          <w:iCs/>
          <w:color w:val="000000"/>
        </w:rPr>
        <w:br w:type="page"/>
      </w:r>
    </w:p>
    <w:p w:rsidR="00FC625F" w:rsidRPr="00852493" w:rsidRDefault="00FC625F" w:rsidP="00FC62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12006976"/>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p>
    <w:p w:rsidR="00FC625F" w:rsidRPr="00852493" w:rsidRDefault="00FC625F" w:rsidP="00FC625F">
      <w:pPr>
        <w:spacing w:after="0" w:line="240" w:lineRule="auto"/>
        <w:rPr>
          <w:rFonts w:ascii="Times New Roman" w:hAnsi="Times New Roman" w:cs="Times New Roman"/>
          <w:b/>
          <w:bCs/>
          <w:color w:val="000000"/>
          <w:sz w:val="28"/>
          <w:szCs w:val="28"/>
          <w:lang w:val="sr-Latn-CS"/>
        </w:rPr>
      </w:pPr>
    </w:p>
    <w:p w:rsidR="00FC625F" w:rsidRPr="00852493" w:rsidRDefault="00FC625F" w:rsidP="00FC625F">
      <w:pPr>
        <w:spacing w:after="0" w:line="240" w:lineRule="auto"/>
        <w:rPr>
          <w:rFonts w:ascii="Times New Roman" w:hAnsi="Times New Roman" w:cs="Times New Roman"/>
          <w:b/>
          <w:bCs/>
          <w:color w:val="000000"/>
          <w:sz w:val="24"/>
          <w:szCs w:val="24"/>
          <w:lang w:val="sr-Latn-CS"/>
        </w:rPr>
      </w:pPr>
    </w:p>
    <w:p w:rsidR="00FC625F" w:rsidRDefault="00FC625F" w:rsidP="00FC625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FC625F" w:rsidRDefault="00FC625F" w:rsidP="00FC625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D34B7">
        <w:rPr>
          <w:rFonts w:ascii="Times New Roman" w:hAnsi="Times New Roman" w:cs="Times New Roman"/>
          <w:color w:val="000000"/>
          <w:sz w:val="24"/>
          <w:szCs w:val="24"/>
          <w:lang w:val="pl-PL"/>
        </w:rPr>
        <w:t>1806/2</w:t>
      </w:r>
    </w:p>
    <w:p w:rsidR="00FC625F" w:rsidRPr="00852493" w:rsidRDefault="00FC625F" w:rsidP="00FC625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D34B7">
        <w:rPr>
          <w:rFonts w:ascii="Times New Roman" w:hAnsi="Times New Roman" w:cs="Times New Roman"/>
          <w:color w:val="000000"/>
          <w:sz w:val="24"/>
          <w:szCs w:val="24"/>
          <w:lang w:val="pl-PL"/>
        </w:rPr>
        <w:t>26.06.</w:t>
      </w:r>
      <w:r>
        <w:rPr>
          <w:rFonts w:ascii="Times New Roman" w:hAnsi="Times New Roman" w:cs="Times New Roman"/>
          <w:color w:val="000000"/>
          <w:sz w:val="24"/>
          <w:szCs w:val="24"/>
          <w:lang w:val="pl-PL"/>
        </w:rPr>
        <w:t>2019. godine</w:t>
      </w:r>
    </w:p>
    <w:p w:rsidR="00FC625F" w:rsidRPr="00852493" w:rsidRDefault="00FC625F" w:rsidP="00FC625F">
      <w:pPr>
        <w:spacing w:after="0" w:line="240" w:lineRule="auto"/>
        <w:jc w:val="both"/>
        <w:rPr>
          <w:rFonts w:ascii="Times New Roman" w:hAnsi="Times New Roman" w:cs="Times New Roman"/>
          <w:b/>
          <w:bCs/>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b/>
          <w:bCs/>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b/>
          <w:bCs/>
          <w:color w:val="000000"/>
          <w:sz w:val="24"/>
          <w:szCs w:val="24"/>
          <w:lang w:val="sr-Latn-CS"/>
        </w:rPr>
      </w:pPr>
    </w:p>
    <w:p w:rsidR="00FC625F" w:rsidRPr="00852493" w:rsidRDefault="00FC625F" w:rsidP="00FC625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color w:val="000000"/>
          <w:sz w:val="24"/>
          <w:szCs w:val="24"/>
          <w:lang w:val="sr-Latn-CS"/>
        </w:rPr>
      </w:pPr>
    </w:p>
    <w:p w:rsidR="00FC625F" w:rsidRPr="00852493" w:rsidRDefault="00FC625F" w:rsidP="00FC62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rPr>
        <w:t xml:space="preserve">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01-1391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15.05.2019</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godine</w:t>
      </w:r>
      <w:r>
        <w:rPr>
          <w:rFonts w:ascii="Times New Roman" w:hAnsi="Times New Roman" w:cs="Times New Roman"/>
          <w:color w:val="000000"/>
          <w:sz w:val="24"/>
          <w:szCs w:val="24"/>
        </w:rPr>
        <w:t xml:space="preserve"> za izvođenje </w:t>
      </w:r>
      <w:r w:rsidRPr="00BC6173">
        <w:rPr>
          <w:rFonts w:ascii="Times New Roman" w:hAnsi="Times New Roman" w:cs="Times New Roman"/>
          <w:sz w:val="24"/>
          <w:szCs w:val="24"/>
        </w:rPr>
        <w:t xml:space="preserve">radova </w:t>
      </w:r>
      <w:r w:rsidRPr="00882988">
        <w:rPr>
          <w:rFonts w:ascii="Times New Roman" w:hAnsi="Times New Roman" w:cs="Times New Roman"/>
          <w:sz w:val="24"/>
          <w:szCs w:val="24"/>
        </w:rPr>
        <w:t>na horizontalnoj signalizaciji i nabavka i ugradnja vertikalne signalizacije (saobraćajni znakovi</w:t>
      </w:r>
      <w:r>
        <w:rPr>
          <w:rFonts w:ascii="Times New Roman" w:hAnsi="Times New Roman" w:cs="Times New Roman"/>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FC625F" w:rsidRPr="00852493" w:rsidRDefault="00FC625F" w:rsidP="00FC625F">
      <w:pPr>
        <w:tabs>
          <w:tab w:val="left" w:pos="1950"/>
        </w:tabs>
        <w:spacing w:after="0" w:line="240" w:lineRule="auto"/>
        <w:rPr>
          <w:rFonts w:ascii="Times New Roman" w:hAnsi="Times New Roman" w:cs="Times New Roman"/>
          <w:color w:val="000000"/>
          <w:sz w:val="24"/>
          <w:szCs w:val="24"/>
        </w:rPr>
      </w:pPr>
    </w:p>
    <w:p w:rsidR="00FC625F" w:rsidRPr="001B57C7" w:rsidRDefault="00FC625F" w:rsidP="00FC625F">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sz w:val="24"/>
          <w:szCs w:val="24"/>
          <w:lang w:val="sl-SI"/>
        </w:rPr>
        <w:t>Vesko Gvozdenović</w:t>
      </w:r>
    </w:p>
    <w:p w:rsidR="00FC625F" w:rsidRDefault="00FC625F" w:rsidP="00FC625F">
      <w:pPr>
        <w:spacing w:after="0" w:line="240" w:lineRule="auto"/>
        <w:rPr>
          <w:rFonts w:ascii="Times New Roman" w:hAnsi="Times New Roman" w:cs="Times New Roman"/>
          <w:color w:val="000000"/>
          <w:sz w:val="24"/>
          <w:szCs w:val="24"/>
          <w:lang w:val="pl-PL"/>
        </w:rPr>
      </w:pPr>
    </w:p>
    <w:p w:rsidR="00FC625F" w:rsidRDefault="00FC625F" w:rsidP="00FC625F">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FC625F" w:rsidRPr="008F4D68" w:rsidRDefault="00FC625F" w:rsidP="00FC625F">
      <w:pPr>
        <w:spacing w:after="0" w:line="240" w:lineRule="auto"/>
        <w:ind w:firstLine="1134"/>
        <w:jc w:val="right"/>
        <w:rPr>
          <w:rFonts w:ascii="Times New Roman" w:hAnsi="Times New Roman" w:cs="Times New Roman"/>
          <w:color w:val="000000"/>
          <w:sz w:val="24"/>
          <w:szCs w:val="24"/>
          <w:lang w:val="sr-Latn-CS"/>
        </w:rPr>
      </w:pPr>
    </w:p>
    <w:p w:rsidR="00FC625F" w:rsidRPr="001B57C7" w:rsidRDefault="00FC625F" w:rsidP="00FC625F">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Pr>
          <w:rFonts w:ascii="Times New Roman" w:hAnsi="Times New Roman" w:cs="Times New Roman"/>
          <w:sz w:val="24"/>
          <w:szCs w:val="24"/>
          <w:lang w:val="sl-SI"/>
        </w:rPr>
        <w:t>Milorad Radonjić</w:t>
      </w:r>
    </w:p>
    <w:p w:rsidR="00FC625F" w:rsidRPr="001B57C7" w:rsidRDefault="00FC625F" w:rsidP="00FC625F">
      <w:pPr>
        <w:spacing w:after="0" w:line="240" w:lineRule="auto"/>
        <w:ind w:left="3600"/>
        <w:rPr>
          <w:rFonts w:ascii="Times New Roman" w:hAnsi="Times New Roman" w:cs="Times New Roman"/>
          <w:b/>
          <w:color w:val="000000"/>
          <w:sz w:val="24"/>
          <w:szCs w:val="24"/>
        </w:rPr>
      </w:pPr>
    </w:p>
    <w:p w:rsidR="00FC625F" w:rsidRPr="00F87EED" w:rsidRDefault="00FC625F" w:rsidP="00FC625F">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C625F" w:rsidRPr="00F87EED" w:rsidRDefault="00FC625F" w:rsidP="00FC625F">
      <w:pPr>
        <w:spacing w:after="0" w:line="240" w:lineRule="auto"/>
        <w:jc w:val="right"/>
        <w:rPr>
          <w:rFonts w:ascii="Times New Roman" w:hAnsi="Times New Roman" w:cs="Times New Roman"/>
          <w:color w:val="000000"/>
          <w:sz w:val="24"/>
          <w:szCs w:val="24"/>
        </w:rPr>
      </w:pPr>
    </w:p>
    <w:p w:rsidR="00FC625F" w:rsidRPr="00F87EED" w:rsidRDefault="00FC625F" w:rsidP="00FC625F">
      <w:pPr>
        <w:spacing w:after="0" w:line="240" w:lineRule="auto"/>
        <w:ind w:firstLine="1134"/>
        <w:jc w:val="right"/>
        <w:rPr>
          <w:rFonts w:ascii="Times New Roman" w:hAnsi="Times New Roman" w:cs="Times New Roman"/>
          <w:color w:val="000000"/>
          <w:sz w:val="24"/>
          <w:szCs w:val="24"/>
        </w:rPr>
      </w:pPr>
    </w:p>
    <w:p w:rsidR="00FC625F" w:rsidRPr="001E307B" w:rsidRDefault="00FC625F" w:rsidP="00FC625F">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FC625F" w:rsidRPr="00F87EED" w:rsidRDefault="00FC625F" w:rsidP="00FC625F">
      <w:pPr>
        <w:spacing w:after="0" w:line="240" w:lineRule="auto"/>
        <w:ind w:left="3600"/>
        <w:rPr>
          <w:rFonts w:ascii="Times New Roman" w:hAnsi="Times New Roman" w:cs="Times New Roman"/>
          <w:color w:val="000000"/>
          <w:sz w:val="24"/>
          <w:szCs w:val="24"/>
        </w:rPr>
      </w:pPr>
    </w:p>
    <w:p w:rsidR="00FC625F" w:rsidRPr="00F87EED" w:rsidRDefault="00FC625F" w:rsidP="00FC625F">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FC625F" w:rsidRDefault="00FC625F" w:rsidP="005B2F32"/>
    <w:p w:rsidR="00FC625F" w:rsidRDefault="00FC625F" w:rsidP="005B2F32"/>
    <w:p w:rsidR="00FC625F" w:rsidRDefault="00FC625F" w:rsidP="005B2F32"/>
    <w:p w:rsidR="00FC625F" w:rsidRDefault="00FC625F" w:rsidP="005B2F32"/>
    <w:p w:rsidR="00FC625F" w:rsidRDefault="00FC625F" w:rsidP="005B2F32"/>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2006977"/>
      <w:r w:rsidRPr="00852493">
        <w:rPr>
          <w:i w:val="0"/>
          <w:iCs w:val="0"/>
          <w:color w:val="000000"/>
          <w:u w:val="none"/>
        </w:rPr>
        <w:t>METODOLOGIJA NAČINA VREDNOVANJA PONUDA PO KRITERIJUMU I PODKRITERIJUMIMA</w:t>
      </w:r>
      <w:bookmarkEnd w:id="11"/>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m:t>
              </m:r>
              <m:r>
                <m:rPr>
                  <m:sty m:val="bi"/>
                </m:rPr>
                <w:rPr>
                  <w:rFonts w:ascii="Cambria Math" w:hAnsi="Cambria Math" w:cs="Times New Roman"/>
                  <w:color w:val="000000"/>
                  <w:sz w:val="24"/>
                  <w:szCs w:val="24"/>
                  <w:shd w:val="clear" w:color="auto" w:fill="FFFFFF"/>
                </w:rPr>
                <m:t>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468"/>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12006978"/>
      <w:r w:rsidRPr="00852493">
        <w:rPr>
          <w:i w:val="0"/>
          <w:iCs w:val="0"/>
          <w:color w:val="000000"/>
          <w:u w:val="none"/>
        </w:rPr>
        <w:t>OBRAZAC PONUDE SA OBRASCIMA KOJE PRIPREMA PONUĐAČ</w:t>
      </w:r>
      <w:bookmarkEnd w:id="12"/>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12006979"/>
      <w:r w:rsidRPr="005B4D09">
        <w:rPr>
          <w:rFonts w:ascii="Times New Roman" w:hAnsi="Times New Roman" w:cs="Times New Roman"/>
          <w:b/>
          <w:bCs/>
          <w:color w:val="000000"/>
          <w:sz w:val="24"/>
          <w:szCs w:val="24"/>
          <w:lang w:eastAsia="zh-TW"/>
        </w:rPr>
        <w:lastRenderedPageBreak/>
        <w:t>NASLOVNA STRANA PONUDE</w:t>
      </w:r>
      <w:bookmarkEnd w:id="13"/>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CD34B7">
        <w:rPr>
          <w:rFonts w:ascii="Times New Roman" w:hAnsi="Times New Roman" w:cs="Times New Roman"/>
          <w:b/>
          <w:bCs/>
          <w:color w:val="000000"/>
          <w:sz w:val="28"/>
          <w:szCs w:val="28"/>
        </w:rPr>
        <w:t>-1786</w:t>
      </w:r>
      <w:r w:rsidR="00050193">
        <w:rPr>
          <w:rFonts w:ascii="Times New Roman" w:hAnsi="Times New Roman" w:cs="Times New Roman"/>
          <w:b/>
          <w:bCs/>
          <w:color w:val="000000"/>
          <w:sz w:val="28"/>
          <w:szCs w:val="28"/>
        </w:rPr>
        <w:t xml:space="preserve"> od </w:t>
      </w:r>
      <w:r w:rsidRPr="00453DA0">
        <w:rPr>
          <w:rFonts w:ascii="Times New Roman" w:hAnsi="Times New Roman" w:cs="Times New Roman"/>
          <w:b/>
          <w:bCs/>
          <w:color w:val="000000"/>
          <w:sz w:val="28"/>
          <w:szCs w:val="28"/>
        </w:rPr>
        <w:t xml:space="preserve"> </w:t>
      </w:r>
      <w:r w:rsidR="00CD34B7">
        <w:rPr>
          <w:rFonts w:ascii="Times New Roman" w:hAnsi="Times New Roman" w:cs="Times New Roman"/>
          <w:b/>
          <w:bCs/>
          <w:color w:val="000000"/>
          <w:sz w:val="28"/>
          <w:szCs w:val="28"/>
        </w:rPr>
        <w:t>26.06.</w:t>
      </w:r>
      <w:r w:rsidR="00130D4D">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00CD34B7">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godine</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50193" w:rsidRPr="0075666A" w:rsidRDefault="00050193" w:rsidP="00050193">
      <w:pPr>
        <w:jc w:val="center"/>
        <w:rPr>
          <w:rFonts w:ascii="Times New Roman" w:hAnsi="Times New Roman" w:cs="Times New Roman"/>
          <w:b/>
          <w:color w:val="000000"/>
          <w:lang w:val="it-IT"/>
        </w:rPr>
      </w:pPr>
      <w:r w:rsidRPr="0075666A">
        <w:rPr>
          <w:rFonts w:ascii="Arial" w:hAnsi="Arial" w:cs="Arial"/>
          <w:b/>
          <w:sz w:val="24"/>
          <w:szCs w:val="24"/>
        </w:rPr>
        <w:t>za izvođenje radova na horizontalnoj signalizaciji i nabavka i ugradnja vertikalne signalizacije (saobraćajni znakovi)</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za</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12006980"/>
      <w:r w:rsidRPr="00852493">
        <w:rPr>
          <w:i w:val="0"/>
          <w:iCs w:val="0"/>
          <w:u w:val="none"/>
        </w:rPr>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12006981"/>
      <w:r w:rsidRPr="00852493">
        <w:rPr>
          <w:rFonts w:ascii="Times New Roman" w:hAnsi="Times New Roman" w:cs="Times New Roman"/>
          <w:color w:val="000000"/>
          <w:sz w:val="24"/>
          <w:szCs w:val="24"/>
        </w:rPr>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D1226E">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default" r:id="rId8"/>
          <w:footerReference w:type="default" r:id="rId9"/>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06982"/>
      <w:r w:rsidRPr="00852493">
        <w:rPr>
          <w:rFonts w:ascii="Times New Roman" w:hAnsi="Times New Roman" w:cs="Times New Roman"/>
          <w:color w:val="000000"/>
          <w:sz w:val="24"/>
          <w:szCs w:val="24"/>
        </w:rPr>
        <w:lastRenderedPageBreak/>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B564CB" w:rsidRPr="00710609" w:rsidTr="00723F0D">
        <w:trPr>
          <w:trHeight w:val="375"/>
        </w:trPr>
        <w:tc>
          <w:tcPr>
            <w:tcW w:w="4109" w:type="dxa"/>
            <w:vAlign w:val="center"/>
          </w:tcPr>
          <w:p w:rsidR="00B564CB" w:rsidRPr="00710609" w:rsidRDefault="00B564CB" w:rsidP="00723F0D">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Garancije kvaliteta</w:t>
            </w:r>
          </w:p>
        </w:tc>
        <w:tc>
          <w:tcPr>
            <w:tcW w:w="5073" w:type="dxa"/>
            <w:vAlign w:val="center"/>
          </w:tcPr>
          <w:p w:rsidR="00B564CB" w:rsidRPr="00710609" w:rsidRDefault="00B564CB" w:rsidP="00723F0D">
            <w:pPr>
              <w:spacing w:after="0" w:line="240" w:lineRule="auto"/>
              <w:rPr>
                <w:rFonts w:ascii="Times New Roman" w:hAnsi="Times New Roman" w:cs="Times New Roman"/>
                <w:color w:val="000000"/>
                <w:sz w:val="24"/>
                <w:szCs w:val="24"/>
                <w:lang w:val="sr-Latn-CS" w:eastAsia="sr-Latn-CS"/>
              </w:rPr>
            </w:pPr>
          </w:p>
        </w:tc>
      </w:tr>
      <w:tr w:rsidR="00B564CB" w:rsidRPr="00710609" w:rsidTr="00723F0D">
        <w:trPr>
          <w:trHeight w:val="375"/>
        </w:trPr>
        <w:tc>
          <w:tcPr>
            <w:tcW w:w="4109" w:type="dxa"/>
            <w:vAlign w:val="center"/>
          </w:tcPr>
          <w:p w:rsidR="00B564CB" w:rsidRPr="00B564CB" w:rsidRDefault="00B564CB" w:rsidP="00723F0D">
            <w:pPr>
              <w:spacing w:after="0" w:line="240" w:lineRule="auto"/>
              <w:rPr>
                <w:rFonts w:ascii="Times New Roman" w:hAnsi="Times New Roman" w:cs="Times New Roman"/>
                <w:color w:val="000000"/>
                <w:sz w:val="24"/>
                <w:szCs w:val="24"/>
                <w:lang w:val="pl-PL"/>
              </w:rPr>
            </w:pPr>
            <w:r w:rsidRPr="00B564CB">
              <w:rPr>
                <w:rFonts w:ascii="Times New Roman" w:hAnsi="Times New Roman" w:cs="Times New Roman"/>
                <w:color w:val="000000"/>
                <w:sz w:val="24"/>
                <w:szCs w:val="24"/>
              </w:rPr>
              <w:t>Način sprovođenja kontrole kvaliteta</w:t>
            </w:r>
          </w:p>
        </w:tc>
        <w:tc>
          <w:tcPr>
            <w:tcW w:w="5073" w:type="dxa"/>
            <w:vAlign w:val="center"/>
          </w:tcPr>
          <w:p w:rsidR="00B564CB" w:rsidRPr="00710609" w:rsidRDefault="00B564CB" w:rsidP="00723F0D">
            <w:pPr>
              <w:spacing w:after="0" w:line="240" w:lineRule="auto"/>
              <w:rPr>
                <w:rFonts w:ascii="Times New Roman" w:hAnsi="Times New Roman" w:cs="Times New Roman"/>
                <w:color w:val="000000"/>
                <w:sz w:val="24"/>
                <w:szCs w:val="24"/>
                <w:lang w:val="sr-Latn-CS" w:eastAsia="sr-Latn-CS"/>
              </w:rPr>
            </w:pPr>
          </w:p>
        </w:tc>
      </w:tr>
      <w:tr w:rsidR="00B564CB" w:rsidRPr="00710609" w:rsidTr="00723F0D">
        <w:trPr>
          <w:trHeight w:val="375"/>
        </w:trPr>
        <w:tc>
          <w:tcPr>
            <w:tcW w:w="4109" w:type="dxa"/>
            <w:vAlign w:val="center"/>
          </w:tcPr>
          <w:p w:rsidR="00B564CB" w:rsidRPr="00B43D50" w:rsidRDefault="00B564CB" w:rsidP="00723F0D">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lang w:val="pl-PL"/>
              </w:rPr>
              <w:t>Garantni rok</w:t>
            </w:r>
          </w:p>
        </w:tc>
        <w:tc>
          <w:tcPr>
            <w:tcW w:w="5073" w:type="dxa"/>
            <w:vAlign w:val="center"/>
          </w:tcPr>
          <w:p w:rsidR="00B564CB" w:rsidRPr="00710609" w:rsidRDefault="00B564CB"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1200698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CD34B7">
        <w:rPr>
          <w:rFonts w:ascii="Times New Roman" w:hAnsi="Times New Roman" w:cs="Times New Roman"/>
          <w:color w:val="000000"/>
          <w:sz w:val="24"/>
          <w:szCs w:val="24"/>
        </w:rPr>
        <w:t>-1786</w:t>
      </w:r>
      <w:r w:rsidRPr="00852493">
        <w:rPr>
          <w:rFonts w:ascii="Times New Roman" w:hAnsi="Times New Roman" w:cs="Times New Roman"/>
          <w:color w:val="000000"/>
          <w:sz w:val="24"/>
          <w:szCs w:val="24"/>
        </w:rPr>
        <w:t xml:space="preserve"> od </w:t>
      </w:r>
      <w:r w:rsidR="00CD34B7">
        <w:rPr>
          <w:rFonts w:ascii="Times New Roman" w:hAnsi="Times New Roman" w:cs="Times New Roman"/>
          <w:color w:val="000000"/>
          <w:sz w:val="24"/>
          <w:szCs w:val="24"/>
        </w:rPr>
        <w:t>26.06.</w:t>
      </w:r>
      <w:r w:rsidR="00130D4D">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1200698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885030" w:rsidRPr="00E82452" w:rsidRDefault="00885030" w:rsidP="00885030">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885030" w:rsidRDefault="00885030" w:rsidP="00885030">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885030" w:rsidRPr="00EA080E" w:rsidRDefault="00885030" w:rsidP="00885030">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885030" w:rsidRDefault="00885030" w:rsidP="00885030">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 – smjer saobraćajni,</w:t>
      </w: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074E" w:rsidRDefault="00ED074E"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12006985"/>
      <w:r w:rsidRPr="00852493">
        <w:rPr>
          <w:rFonts w:ascii="Times New Roman" w:hAnsi="Times New Roman" w:cs="Times New Roman"/>
          <w:color w:val="000000"/>
          <w:sz w:val="28"/>
          <w:szCs w:val="28"/>
        </w:rPr>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885030" w:rsidRDefault="00885030" w:rsidP="0088503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CC6A70" w:rsidRDefault="00CC6A70" w:rsidP="00CC6A70">
      <w:pPr>
        <w:spacing w:after="0" w:line="240" w:lineRule="auto"/>
        <w:rPr>
          <w:rFonts w:ascii="Times New Roman" w:hAnsi="Times New Roman" w:cs="Times New Roman"/>
          <w:b/>
          <w:bCs/>
          <w:color w:val="000000"/>
          <w:sz w:val="24"/>
          <w:szCs w:val="24"/>
          <w:lang w:val="sr-Latn-CS"/>
        </w:rPr>
      </w:pPr>
    </w:p>
    <w:p w:rsidR="00CC6A70" w:rsidRDefault="00CC6A70" w:rsidP="00CC6A70">
      <w:pPr>
        <w:spacing w:after="0" w:line="240" w:lineRule="auto"/>
        <w:rPr>
          <w:rFonts w:ascii="Times New Roman" w:hAnsi="Times New Roman" w:cs="Times New Roman"/>
          <w:b/>
          <w:bCs/>
          <w:color w:val="000000"/>
          <w:sz w:val="24"/>
          <w:szCs w:val="24"/>
          <w:lang w:val="sr-Latn-CS"/>
        </w:rPr>
      </w:pPr>
    </w:p>
    <w:p w:rsidR="00153592" w:rsidRDefault="00153592" w:rsidP="00153592">
      <w:pPr>
        <w:pStyle w:val="BodyText"/>
        <w:rPr>
          <w:b/>
          <w:bCs/>
          <w:color w:val="000000"/>
          <w:sz w:val="24"/>
          <w:szCs w:val="24"/>
          <w:lang w:val="sr-Latn-CS"/>
        </w:rPr>
      </w:pPr>
    </w:p>
    <w:p w:rsidR="00885030" w:rsidRDefault="00885030" w:rsidP="00153592">
      <w:pPr>
        <w:pStyle w:val="BodyText"/>
        <w:rPr>
          <w:b/>
          <w:bCs/>
          <w:color w:val="000000"/>
          <w:sz w:val="24"/>
          <w:szCs w:val="24"/>
          <w:lang w:val="sr-Latn-CS"/>
        </w:rPr>
      </w:pPr>
    </w:p>
    <w:p w:rsidR="00885030" w:rsidRDefault="00885030" w:rsidP="00153592">
      <w:pPr>
        <w:pStyle w:val="BodyText"/>
        <w:rPr>
          <w:b/>
          <w:bCs/>
          <w:color w:val="000000"/>
          <w:sz w:val="24"/>
          <w:szCs w:val="24"/>
          <w:lang w:val="sr-Latn-CS"/>
        </w:rPr>
      </w:pPr>
    </w:p>
    <w:p w:rsidR="00885030" w:rsidRDefault="00885030" w:rsidP="00153592">
      <w:pPr>
        <w:pStyle w:val="BodyText"/>
        <w:rPr>
          <w:b/>
          <w:bCs/>
          <w:color w:val="000000"/>
          <w:sz w:val="24"/>
          <w:szCs w:val="24"/>
          <w:lang w:val="sr-Latn-CS"/>
        </w:rPr>
      </w:pPr>
    </w:p>
    <w:p w:rsidR="00885030" w:rsidRPr="00852493" w:rsidRDefault="00885030"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Default="005746BF" w:rsidP="00153592">
      <w:pPr>
        <w:pStyle w:val="BodyText"/>
        <w:rPr>
          <w:b/>
          <w:bCs/>
          <w:color w:val="000000"/>
          <w:sz w:val="24"/>
          <w:szCs w:val="24"/>
          <w:lang w:val="sr-Latn-CS"/>
        </w:rPr>
      </w:pPr>
    </w:p>
    <w:p w:rsidR="005746BF" w:rsidRPr="00852493" w:rsidRDefault="005746B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885030" w:rsidRDefault="00885030" w:rsidP="00885030">
      <w:pPr>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85030" w:rsidRPr="00FA2239" w:rsidTr="000635D9">
        <w:tc>
          <w:tcPr>
            <w:tcW w:w="9287" w:type="dxa"/>
          </w:tcPr>
          <w:p w:rsidR="00885030" w:rsidRPr="00FA2239" w:rsidRDefault="00885030" w:rsidP="000635D9">
            <w:pPr>
              <w:pStyle w:val="1tekst"/>
              <w:ind w:right="282" w:firstLine="0"/>
              <w:rPr>
                <w:rFonts w:ascii="Times New Roman" w:hAnsi="Times New Roman" w:cs="Times New Roman"/>
                <w:b/>
                <w:bCs/>
                <w:color w:val="000000"/>
                <w:sz w:val="24"/>
                <w:szCs w:val="24"/>
              </w:rPr>
            </w:pPr>
          </w:p>
          <w:p w:rsidR="00885030" w:rsidRPr="00FA2239" w:rsidRDefault="00885030" w:rsidP="000635D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85030" w:rsidRPr="00FA2239" w:rsidRDefault="00885030" w:rsidP="000635D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885030" w:rsidRPr="00FA2239" w:rsidRDefault="00885030" w:rsidP="000635D9">
            <w:pPr>
              <w:pStyle w:val="1tekst"/>
              <w:ind w:left="284" w:right="282" w:firstLine="0"/>
              <w:rPr>
                <w:rFonts w:ascii="Times New Roman" w:hAnsi="Times New Roman" w:cs="Times New Roman"/>
                <w:color w:val="000000"/>
                <w:sz w:val="24"/>
                <w:szCs w:val="24"/>
              </w:rPr>
            </w:pPr>
          </w:p>
          <w:p w:rsidR="00885030" w:rsidRPr="00FA2239" w:rsidRDefault="00885030" w:rsidP="000635D9">
            <w:pPr>
              <w:pStyle w:val="1tekst"/>
              <w:ind w:left="284" w:right="282" w:firstLine="0"/>
              <w:rPr>
                <w:rFonts w:ascii="Times New Roman" w:hAnsi="Times New Roman" w:cs="Times New Roman"/>
                <w:color w:val="000000"/>
                <w:sz w:val="24"/>
                <w:szCs w:val="24"/>
              </w:rPr>
            </w:pPr>
          </w:p>
          <w:p w:rsidR="00885030" w:rsidRPr="00FA2239" w:rsidRDefault="00885030" w:rsidP="000635D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885030" w:rsidRPr="00FA2239" w:rsidRDefault="00885030" w:rsidP="000635D9">
            <w:pPr>
              <w:spacing w:after="0" w:line="240" w:lineRule="auto"/>
              <w:jc w:val="both"/>
              <w:rPr>
                <w:rFonts w:ascii="Times New Roman" w:hAnsi="Times New Roman" w:cs="Times New Roman"/>
                <w:color w:val="000000"/>
                <w:sz w:val="24"/>
                <w:szCs w:val="24"/>
                <w:lang w:val="sr-Latn-CS"/>
              </w:rPr>
            </w:pPr>
          </w:p>
          <w:p w:rsidR="00885030" w:rsidRPr="00FA2239" w:rsidRDefault="00885030" w:rsidP="000635D9">
            <w:pPr>
              <w:spacing w:after="0" w:line="240" w:lineRule="auto"/>
              <w:ind w:left="284" w:right="282"/>
              <w:jc w:val="center"/>
              <w:rPr>
                <w:rFonts w:ascii="Times New Roman" w:hAnsi="Times New Roman" w:cs="Times New Roman"/>
                <w:color w:val="000000"/>
                <w:sz w:val="24"/>
                <w:szCs w:val="24"/>
                <w:lang w:val="sr-Latn-CS"/>
              </w:rPr>
            </w:pPr>
          </w:p>
          <w:p w:rsidR="00885030" w:rsidRPr="00FA2239" w:rsidRDefault="00885030" w:rsidP="000635D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85030" w:rsidRPr="00FA2239" w:rsidRDefault="00885030" w:rsidP="000635D9">
            <w:pPr>
              <w:spacing w:after="0" w:line="240" w:lineRule="auto"/>
              <w:jc w:val="center"/>
              <w:rPr>
                <w:rFonts w:ascii="Times New Roman" w:hAnsi="Times New Roman" w:cs="Times New Roman"/>
                <w:b/>
                <w:bCs/>
                <w:color w:val="000000"/>
                <w:sz w:val="24"/>
                <w:szCs w:val="24"/>
                <w:lang w:val="sr-Latn-CS"/>
              </w:rPr>
            </w:pPr>
          </w:p>
          <w:p w:rsidR="00885030" w:rsidRPr="00FA2239" w:rsidRDefault="00885030" w:rsidP="000635D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85030" w:rsidRPr="00FA2239" w:rsidRDefault="00885030" w:rsidP="000635D9">
            <w:pPr>
              <w:spacing w:after="0" w:line="240" w:lineRule="auto"/>
              <w:jc w:val="both"/>
              <w:rPr>
                <w:rFonts w:ascii="Times New Roman" w:hAnsi="Times New Roman" w:cs="Times New Roman"/>
                <w:color w:val="000000"/>
                <w:sz w:val="24"/>
                <w:szCs w:val="24"/>
                <w:lang w:val="sr-Latn-CS"/>
              </w:rPr>
            </w:pPr>
          </w:p>
          <w:p w:rsidR="00885030" w:rsidRPr="00FA2239" w:rsidRDefault="00885030" w:rsidP="000635D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85030" w:rsidRPr="00FA2239" w:rsidRDefault="00885030" w:rsidP="000635D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85030" w:rsidRPr="003C656B" w:rsidRDefault="00885030" w:rsidP="000635D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85030" w:rsidRPr="00FA2239" w:rsidRDefault="00885030" w:rsidP="000635D9">
            <w:pPr>
              <w:spacing w:after="0" w:line="240" w:lineRule="auto"/>
              <w:jc w:val="both"/>
              <w:rPr>
                <w:rFonts w:ascii="Times New Roman" w:hAnsi="Times New Roman" w:cs="Times New Roman"/>
                <w:i/>
                <w:iCs/>
                <w:color w:val="000000"/>
                <w:sz w:val="24"/>
                <w:szCs w:val="24"/>
                <w:lang w:val="sr-Latn-CS"/>
              </w:rPr>
            </w:pPr>
          </w:p>
          <w:p w:rsidR="00885030" w:rsidRPr="00FA2239" w:rsidRDefault="00885030" w:rsidP="000635D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85030" w:rsidRPr="00FA2239" w:rsidRDefault="00885030" w:rsidP="000635D9">
            <w:pPr>
              <w:spacing w:after="0" w:line="240" w:lineRule="auto"/>
              <w:ind w:right="149"/>
              <w:jc w:val="right"/>
              <w:rPr>
                <w:rFonts w:ascii="Times New Roman" w:hAnsi="Times New Roman" w:cs="Times New Roman"/>
                <w:color w:val="000000"/>
                <w:sz w:val="24"/>
                <w:szCs w:val="24"/>
                <w:lang w:val="sr-Latn-CS"/>
              </w:rPr>
            </w:pPr>
          </w:p>
          <w:p w:rsidR="00885030" w:rsidRPr="00FA2239" w:rsidRDefault="00885030" w:rsidP="000635D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85030" w:rsidRPr="00FA2239" w:rsidRDefault="00885030" w:rsidP="000635D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85030" w:rsidRPr="00FA2239" w:rsidRDefault="00885030" w:rsidP="000635D9">
            <w:pPr>
              <w:spacing w:after="0" w:line="240" w:lineRule="auto"/>
              <w:ind w:right="149"/>
              <w:jc w:val="right"/>
              <w:rPr>
                <w:rFonts w:ascii="Times New Roman" w:hAnsi="Times New Roman" w:cs="Times New Roman"/>
                <w:color w:val="000000"/>
                <w:sz w:val="24"/>
                <w:szCs w:val="24"/>
                <w:lang w:val="sr-Latn-CS"/>
              </w:rPr>
            </w:pPr>
          </w:p>
          <w:p w:rsidR="00885030" w:rsidRPr="00FA2239" w:rsidRDefault="00885030" w:rsidP="000635D9">
            <w:pPr>
              <w:spacing w:after="0" w:line="240" w:lineRule="auto"/>
              <w:ind w:right="149"/>
              <w:jc w:val="right"/>
              <w:rPr>
                <w:rFonts w:ascii="Times New Roman" w:hAnsi="Times New Roman" w:cs="Times New Roman"/>
                <w:color w:val="000000"/>
                <w:sz w:val="24"/>
                <w:szCs w:val="24"/>
                <w:lang w:val="sr-Latn-CS"/>
              </w:rPr>
            </w:pPr>
          </w:p>
          <w:p w:rsidR="00885030" w:rsidRPr="00FA2239" w:rsidRDefault="00885030" w:rsidP="000635D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85030" w:rsidRPr="00FA2239" w:rsidRDefault="00885030" w:rsidP="000635D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85030" w:rsidRPr="00FA2239" w:rsidRDefault="00885030" w:rsidP="000635D9">
            <w:pPr>
              <w:spacing w:after="0" w:line="240" w:lineRule="auto"/>
              <w:ind w:firstLine="426"/>
              <w:jc w:val="both"/>
              <w:rPr>
                <w:rFonts w:ascii="Times New Roman" w:hAnsi="Times New Roman" w:cs="Times New Roman"/>
                <w:color w:val="000000"/>
                <w:sz w:val="24"/>
                <w:szCs w:val="24"/>
                <w:lang w:val="sr-Latn-CS"/>
              </w:rPr>
            </w:pPr>
          </w:p>
          <w:p w:rsidR="00885030" w:rsidRDefault="00885030" w:rsidP="000635D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85030" w:rsidRPr="00FA2239" w:rsidRDefault="00885030" w:rsidP="000635D9">
            <w:pPr>
              <w:pStyle w:val="1tekst"/>
              <w:ind w:firstLine="0"/>
              <w:rPr>
                <w:rFonts w:ascii="Times New Roman" w:hAnsi="Times New Roman" w:cs="Times New Roman"/>
                <w:color w:val="000000"/>
                <w:sz w:val="24"/>
                <w:szCs w:val="24"/>
              </w:rPr>
            </w:pPr>
          </w:p>
          <w:p w:rsidR="00885030" w:rsidRPr="00FA2239" w:rsidRDefault="00885030" w:rsidP="000635D9">
            <w:pPr>
              <w:pStyle w:val="1tekst"/>
              <w:ind w:firstLine="0"/>
              <w:rPr>
                <w:rFonts w:ascii="Times New Roman" w:hAnsi="Times New Roman" w:cs="Times New Roman"/>
                <w:color w:val="000000"/>
                <w:sz w:val="24"/>
                <w:szCs w:val="24"/>
              </w:rPr>
            </w:pPr>
          </w:p>
        </w:tc>
      </w:tr>
    </w:tbl>
    <w:p w:rsidR="00ED074E" w:rsidRDefault="00ED074E" w:rsidP="00153592">
      <w:pPr>
        <w:pStyle w:val="BodyText"/>
        <w:rPr>
          <w:b/>
          <w:bCs/>
          <w:color w:val="000000"/>
          <w:sz w:val="24"/>
          <w:szCs w:val="24"/>
          <w:lang w:val="sr-Latn-CS"/>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12006986"/>
      <w:r w:rsidRPr="00852493">
        <w:rPr>
          <w:i w:val="0"/>
          <w:iCs w:val="0"/>
          <w:u w:val="none"/>
        </w:rPr>
        <w:lastRenderedPageBreak/>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CD34B7">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6F187C">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Crnogorska Komercijalna banka, </w:t>
      </w:r>
      <w:r w:rsidR="00CF04F9">
        <w:rPr>
          <w:rFonts w:ascii="Times New Roman" w:hAnsi="Times New Roman" w:cs="Times New Roman"/>
          <w:color w:val="000000"/>
          <w:sz w:val="24"/>
          <w:szCs w:val="24"/>
        </w:rPr>
        <w:t>koju</w:t>
      </w:r>
      <w:r w:rsidR="00A8376D" w:rsidRPr="00852493">
        <w:rPr>
          <w:rFonts w:ascii="Times New Roman" w:hAnsi="Times New Roman" w:cs="Times New Roman"/>
          <w:color w:val="000000"/>
          <w:sz w:val="24"/>
          <w:szCs w:val="24"/>
        </w:rPr>
        <w:t xml:space="preserve"> zastupa </w:t>
      </w:r>
      <w:r w:rsidR="00A8376D">
        <w:rPr>
          <w:rFonts w:ascii="Times New Roman" w:hAnsi="Times New Roman" w:cs="Times New Roman"/>
          <w:color w:val="000000"/>
          <w:sz w:val="24"/>
          <w:szCs w:val="24"/>
        </w:rPr>
        <w:t>Predsjednik, Dušan Raičević</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w:t>
      </w:r>
      <w:r w:rsidR="00D61081">
        <w:rPr>
          <w:rFonts w:ascii="Times New Roman" w:hAnsi="Times New Roman" w:cs="Times New Roman"/>
          <w:color w:val="000000"/>
          <w:sz w:val="24"/>
          <w:szCs w:val="24"/>
        </w:rPr>
        <w:t>koje</w:t>
      </w:r>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bookmarkStart w:id="21" w:name="_Toc12006987"/>
      <w:r w:rsidRPr="001659CD">
        <w:rPr>
          <w:b w:val="0"/>
          <w:i w:val="0"/>
          <w:color w:val="000000"/>
          <w:sz w:val="24"/>
          <w:szCs w:val="24"/>
          <w:u w:val="none"/>
        </w:rPr>
        <w:t xml:space="preserve">Tenderska dokumentacijabroj: </w:t>
      </w:r>
      <w:r w:rsidR="00D545E0">
        <w:rPr>
          <w:b w:val="0"/>
          <w:i w:val="0"/>
          <w:color w:val="000000"/>
          <w:sz w:val="24"/>
          <w:szCs w:val="24"/>
          <w:u w:val="none"/>
        </w:rPr>
        <w:t>01</w:t>
      </w:r>
      <w:r w:rsidR="00CD34B7">
        <w:rPr>
          <w:b w:val="0"/>
          <w:i w:val="0"/>
          <w:color w:val="000000"/>
          <w:sz w:val="24"/>
          <w:szCs w:val="24"/>
          <w:u w:val="none"/>
        </w:rPr>
        <w:t>-1786</w:t>
      </w:r>
      <w:r w:rsidR="00CF04F9">
        <w:rPr>
          <w:b w:val="0"/>
          <w:i w:val="0"/>
          <w:color w:val="000000"/>
          <w:sz w:val="24"/>
          <w:szCs w:val="24"/>
          <w:u w:val="none"/>
        </w:rPr>
        <w:t xml:space="preserve"> od  </w:t>
      </w:r>
      <w:r w:rsidR="00CD34B7">
        <w:rPr>
          <w:b w:val="0"/>
          <w:i w:val="0"/>
          <w:color w:val="000000"/>
          <w:sz w:val="24"/>
          <w:szCs w:val="24"/>
          <w:u w:val="none"/>
        </w:rPr>
        <w:t>26.06.</w:t>
      </w:r>
      <w:r w:rsidR="00A8376D">
        <w:rPr>
          <w:b w:val="0"/>
          <w:i w:val="0"/>
          <w:color w:val="000000"/>
          <w:sz w:val="24"/>
          <w:szCs w:val="24"/>
          <w:u w:val="none"/>
        </w:rPr>
        <w:t>2019</w:t>
      </w:r>
      <w:r w:rsidRPr="001659CD">
        <w:rPr>
          <w:b w:val="0"/>
          <w:i w:val="0"/>
          <w:color w:val="000000"/>
          <w:sz w:val="24"/>
          <w:szCs w:val="24"/>
          <w:u w:val="none"/>
        </w:rPr>
        <w:t>. godine;</w:t>
      </w:r>
      <w:bookmarkEnd w:id="21"/>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od</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A8376D">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  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bookmarkStart w:id="22" w:name="_Toc12006988"/>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313F66">
        <w:rPr>
          <w:b w:val="0"/>
          <w:i w:val="0"/>
          <w:sz w:val="24"/>
          <w:szCs w:val="24"/>
          <w:u w:val="none"/>
          <w:lang w:val="pl-PL"/>
        </w:rPr>
        <w:t xml:space="preserve">9.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CD34B7">
        <w:rPr>
          <w:b w:val="0"/>
          <w:i w:val="0"/>
          <w:sz w:val="24"/>
          <w:szCs w:val="24"/>
          <w:u w:val="none"/>
          <w:lang w:val="pl-PL"/>
        </w:rPr>
        <w:t>-1786</w:t>
      </w:r>
      <w:r w:rsidR="00585B8E" w:rsidRPr="001659CD">
        <w:rPr>
          <w:b w:val="0"/>
          <w:i w:val="0"/>
          <w:sz w:val="24"/>
          <w:szCs w:val="24"/>
          <w:u w:val="none"/>
          <w:lang w:val="pl-PL"/>
        </w:rPr>
        <w:t xml:space="preserve"> od </w:t>
      </w:r>
      <w:r w:rsidR="00CD34B7">
        <w:rPr>
          <w:b w:val="0"/>
          <w:i w:val="0"/>
          <w:sz w:val="24"/>
          <w:szCs w:val="24"/>
          <w:u w:val="none"/>
          <w:lang w:val="pl-PL"/>
        </w:rPr>
        <w:t>26.06.</w:t>
      </w:r>
      <w:bookmarkStart w:id="23" w:name="_GoBack"/>
      <w:bookmarkEnd w:id="23"/>
      <w:r w:rsidR="00A8376D">
        <w:rPr>
          <w:b w:val="0"/>
          <w:i w:val="0"/>
          <w:sz w:val="24"/>
          <w:szCs w:val="24"/>
          <w:u w:val="none"/>
          <w:lang w:val="pl-PL"/>
        </w:rPr>
        <w:t>2019</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BD7109" w:rsidRPr="00BD7109">
        <w:rPr>
          <w:b w:val="0"/>
          <w:i w:val="0"/>
          <w:sz w:val="24"/>
          <w:szCs w:val="24"/>
          <w:u w:val="none"/>
        </w:rPr>
        <w:t>na horizontalnoj signalizaciji i nabavka i ugradnja vertikalne signalizacije (saobraćajni znakovi)</w:t>
      </w:r>
      <w:r w:rsidR="00585B8E" w:rsidRPr="00BD7109">
        <w:rPr>
          <w:b w:val="0"/>
          <w:i w:val="0"/>
          <w:sz w:val="24"/>
          <w:szCs w:val="24"/>
          <w:u w:val="none"/>
          <w:lang w:val="pl-PL"/>
        </w:rPr>
        <w:t>,</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od ________201</w:t>
      </w:r>
      <w:r w:rsidR="00A8376D">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585B8E" w:rsidRPr="001659CD">
        <w:rPr>
          <w:b w:val="0"/>
          <w:i w:val="0"/>
          <w:sz w:val="24"/>
          <w:szCs w:val="24"/>
          <w:u w:val="none"/>
          <w:lang w:val="pl-PL"/>
        </w:rPr>
        <w:t>izvede</w:t>
      </w:r>
      <w:r w:rsidR="00FA41B5">
        <w:rPr>
          <w:b w:val="0"/>
          <w:i w:val="0"/>
          <w:sz w:val="24"/>
          <w:szCs w:val="24"/>
          <w:u w:val="none"/>
          <w:lang w:val="pl-PL"/>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bookmarkEnd w:id="22"/>
    </w:p>
    <w:p w:rsidR="00585B8E" w:rsidRPr="001659CD" w:rsidRDefault="00585B8E" w:rsidP="00CD142E">
      <w:pPr>
        <w:pStyle w:val="Heading1"/>
        <w:spacing w:line="20" w:lineRule="atLeast"/>
        <w:jc w:val="both"/>
        <w:rPr>
          <w:b w:val="0"/>
          <w:i w:val="0"/>
          <w:sz w:val="24"/>
          <w:szCs w:val="24"/>
          <w:u w:val="none"/>
          <w:lang w:val="it-IT"/>
        </w:rPr>
      </w:pP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w:t>
      </w:r>
      <w:r w:rsidR="00A82B84">
        <w:rPr>
          <w:rFonts w:ascii="Times New Roman" w:hAnsi="Times New Roman" w:cs="Times New Roman"/>
          <w:b/>
          <w:color w:val="000000"/>
          <w:sz w:val="24"/>
          <w:szCs w:val="24"/>
          <w:lang w:val="sl-SI"/>
        </w:rPr>
        <w:t xml:space="preserve"> 2</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487457" w:rsidRDefault="00487457" w:rsidP="00487457">
      <w:pPr>
        <w:spacing w:after="0" w:line="20" w:lineRule="atLeast"/>
        <w:jc w:val="both"/>
        <w:rPr>
          <w:rFonts w:ascii="Times New Roman" w:hAnsi="Times New Roman" w:cs="Times New Roman"/>
          <w:b/>
          <w:sz w:val="24"/>
          <w:szCs w:val="24"/>
          <w:lang w:val="sr-Latn-CS"/>
        </w:rPr>
      </w:pPr>
      <w:r w:rsidRPr="0017473A">
        <w:rPr>
          <w:rFonts w:ascii="Times New Roman" w:hAnsi="Times New Roman" w:cs="Times New Roman"/>
          <w:b/>
          <w:sz w:val="24"/>
          <w:szCs w:val="24"/>
          <w:lang w:val="sr-Latn-CS"/>
        </w:rPr>
        <w:t>Ugovorena vrijednost robe podrazumijeva isporuku FCO NARUČILAC, sa svim troškovima prevoza, špedicije, carinjenja.</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 xml:space="preserve">Član </w:t>
      </w:r>
      <w:r w:rsidR="00A82B84">
        <w:rPr>
          <w:rFonts w:ascii="Times New Roman" w:hAnsi="Times New Roman" w:cs="Times New Roman"/>
          <w:b/>
          <w:color w:val="000000"/>
          <w:sz w:val="24"/>
          <w:szCs w:val="24"/>
          <w:lang w:val="sl-SI"/>
        </w:rPr>
        <w:t>3</w:t>
      </w:r>
    </w:p>
    <w:p w:rsidR="00B8128B" w:rsidRPr="00BD7109" w:rsidRDefault="00585B8E" w:rsidP="00BD7109">
      <w:pPr>
        <w:spacing w:after="0" w:line="240" w:lineRule="auto"/>
        <w:jc w:val="both"/>
        <w:rPr>
          <w:rFonts w:ascii="Times New Roman" w:hAnsi="Times New Roman" w:cs="Times New Roman"/>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A82B84" w:rsidRPr="00A82B84">
        <w:rPr>
          <w:rFonts w:ascii="Times New Roman" w:hAnsi="Times New Roman"/>
          <w:sz w:val="24"/>
          <w:szCs w:val="24"/>
        </w:rPr>
        <w:t xml:space="preserve"> </w:t>
      </w:r>
      <w:r w:rsidR="00A82B84">
        <w:rPr>
          <w:rFonts w:ascii="Times New Roman" w:hAnsi="Times New Roman"/>
          <w:sz w:val="24"/>
          <w:szCs w:val="24"/>
        </w:rPr>
        <w:t>u</w:t>
      </w:r>
      <w:r w:rsidR="00A82B84">
        <w:rPr>
          <w:rFonts w:ascii="Times New Roman" w:hAnsi="Times New Roman"/>
          <w:sz w:val="24"/>
          <w:szCs w:val="24"/>
          <w:lang w:val="pl-PL"/>
        </w:rPr>
        <w:t xml:space="preserve"> </w:t>
      </w:r>
      <w:r w:rsidR="00A82B84">
        <w:rPr>
          <w:rFonts w:ascii="Times New Roman" w:hAnsi="Times New Roman" w:cs="Times New Roman"/>
          <w:color w:val="000000"/>
          <w:sz w:val="24"/>
          <w:szCs w:val="24"/>
        </w:rPr>
        <w:t>roku od</w:t>
      </w:r>
      <w:r w:rsidR="00A82B84" w:rsidRPr="007A289E">
        <w:rPr>
          <w:rFonts w:ascii="Times New Roman" w:hAnsi="Times New Roman" w:cs="Times New Roman"/>
          <w:color w:val="000000"/>
          <w:sz w:val="24"/>
          <w:szCs w:val="24"/>
        </w:rPr>
        <w:t xml:space="preserve"> 30 dana od dana ispostavljanja fakture</w:t>
      </w:r>
      <w:r w:rsidR="00A82B84">
        <w:rPr>
          <w:rFonts w:ascii="Times New Roman" w:hAnsi="Times New Roman" w:cs="Times New Roman"/>
          <w:color w:val="000000"/>
          <w:sz w:val="24"/>
          <w:szCs w:val="24"/>
        </w:rPr>
        <w:t xml:space="preserve"> za </w:t>
      </w:r>
      <w:r w:rsidR="00A82B84">
        <w:rPr>
          <w:rFonts w:ascii="Times New Roman" w:hAnsi="Times New Roman"/>
          <w:color w:val="000000"/>
          <w:sz w:val="24"/>
          <w:szCs w:val="24"/>
        </w:rPr>
        <w:t>isporučenu robu</w:t>
      </w:r>
      <w:r w:rsidR="00A82B84">
        <w:rPr>
          <w:rFonts w:ascii="Times New Roman" w:hAnsi="Times New Roman" w:cs="Times New Roman"/>
          <w:color w:val="000000"/>
          <w:sz w:val="24"/>
          <w:szCs w:val="24"/>
        </w:rPr>
        <w:t>.</w:t>
      </w:r>
    </w:p>
    <w:p w:rsidR="008565AA" w:rsidRPr="00B8128B" w:rsidRDefault="00585B8E" w:rsidP="008565AA">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7E1CFA">
        <w:rPr>
          <w:rFonts w:ascii="Times New Roman" w:hAnsi="Times New Roman" w:cs="Times New Roman"/>
          <w:sz w:val="24"/>
          <w:szCs w:val="24"/>
        </w:rPr>
        <w:t>Virmanski.</w:t>
      </w:r>
    </w:p>
    <w:p w:rsidR="001174E1" w:rsidRDefault="001174E1" w:rsidP="00CD142E">
      <w:pPr>
        <w:spacing w:after="0" w:line="20" w:lineRule="atLeast"/>
        <w:jc w:val="both"/>
        <w:rPr>
          <w:rFonts w:ascii="Times New Roman" w:hAnsi="Times New Roman" w:cs="Times New Roman"/>
          <w:color w:val="000000"/>
          <w:sz w:val="24"/>
          <w:szCs w:val="24"/>
        </w:rPr>
      </w:pPr>
    </w:p>
    <w:p w:rsidR="00204D2E" w:rsidRPr="000672E9" w:rsidRDefault="000672E9" w:rsidP="00B8128B">
      <w:pPr>
        <w:spacing w:after="0" w:line="20" w:lineRule="atLeast"/>
        <w:jc w:val="center"/>
        <w:rPr>
          <w:rFonts w:ascii="Times New Roman" w:hAnsi="Times New Roman"/>
          <w:b/>
          <w:lang w:val="sl-SI"/>
        </w:rPr>
      </w:pPr>
      <w:r w:rsidRPr="000672E9">
        <w:rPr>
          <w:rFonts w:ascii="Times New Roman" w:hAnsi="Times New Roman"/>
          <w:b/>
          <w:lang w:val="sl-SI"/>
        </w:rPr>
        <w:t>Član</w:t>
      </w:r>
      <w:r w:rsidR="00A82B84">
        <w:rPr>
          <w:rFonts w:ascii="Times New Roman" w:hAnsi="Times New Roman"/>
          <w:b/>
          <w:lang w:val="sl-SI"/>
        </w:rPr>
        <w:t>4</w:t>
      </w:r>
    </w:p>
    <w:p w:rsidR="00ED4C8B"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iCs/>
          <w:sz w:val="24"/>
          <w:szCs w:val="24"/>
          <w:lang w:val="sr-Latn-CS"/>
        </w:rPr>
        <w:t xml:space="preserve">Rok izvršenja Ugovora je </w:t>
      </w:r>
      <w:r w:rsidRPr="00B43D50">
        <w:rPr>
          <w:rFonts w:ascii="Times New Roman" w:hAnsi="Times New Roman" w:cs="Times New Roman"/>
          <w:sz w:val="24"/>
          <w:szCs w:val="24"/>
          <w:lang w:val="sr-Latn-CS" w:eastAsia="sr-Latn-CS"/>
        </w:rPr>
        <w:t> </w:t>
      </w:r>
      <w:r w:rsidR="003E7F55">
        <w:rPr>
          <w:rFonts w:ascii="Times New Roman" w:hAnsi="Times New Roman" w:cs="Times New Roman"/>
          <w:sz w:val="24"/>
          <w:szCs w:val="24"/>
          <w:lang w:val="sr-Latn-CS"/>
        </w:rPr>
        <w:t>8</w:t>
      </w:r>
      <w:r w:rsidR="008A6185" w:rsidRPr="00B43D50">
        <w:rPr>
          <w:rFonts w:ascii="Times New Roman" w:hAnsi="Times New Roman" w:cs="Times New Roman"/>
          <w:sz w:val="24"/>
          <w:szCs w:val="24"/>
          <w:lang w:val="sr-Latn-CS"/>
        </w:rPr>
        <w:t xml:space="preserve"> kalendarskih dana od dana zaključenja ugovora</w:t>
      </w:r>
      <w:r w:rsidRPr="00B43D50">
        <w:rPr>
          <w:rFonts w:ascii="Times New Roman" w:hAnsi="Times New Roman" w:cs="Times New Roman"/>
          <w:sz w:val="24"/>
          <w:szCs w:val="24"/>
          <w:lang w:val="sr-Latn-CS"/>
        </w:rPr>
        <w:t>.</w:t>
      </w:r>
    </w:p>
    <w:p w:rsidR="00204D2E"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t xml:space="preserve"> Mjesto izvršenja</w:t>
      </w:r>
      <w:r w:rsidR="00A82B84">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 xml:space="preserve">ugovora </w:t>
      </w:r>
      <w:r w:rsidR="00BD7511" w:rsidRPr="00B43D50">
        <w:rPr>
          <w:rFonts w:ascii="Times New Roman" w:hAnsi="Times New Roman" w:cs="Times New Roman"/>
          <w:sz w:val="24"/>
          <w:szCs w:val="24"/>
          <w:lang w:val="sr-Latn-CS"/>
        </w:rPr>
        <w:t>je Opština Bar.</w:t>
      </w:r>
    </w:p>
    <w:p w:rsidR="00204D2E" w:rsidRPr="00B43D50" w:rsidRDefault="00204D2E" w:rsidP="00CD142E">
      <w:pPr>
        <w:spacing w:after="0" w:line="20" w:lineRule="atLeast"/>
        <w:jc w:val="both"/>
        <w:rPr>
          <w:rFonts w:ascii="Times New Roman" w:hAnsi="Times New Roman" w:cs="Times New Roman"/>
          <w:sz w:val="24"/>
          <w:szCs w:val="24"/>
          <w:lang w:val="sl-SI"/>
        </w:rPr>
      </w:pPr>
    </w:p>
    <w:p w:rsidR="000672E9" w:rsidRDefault="000672E9" w:rsidP="00CD142E">
      <w:pPr>
        <w:spacing w:after="0" w:line="20" w:lineRule="atLeast"/>
        <w:jc w:val="both"/>
        <w:rPr>
          <w:rFonts w:ascii="Times New Roman" w:hAnsi="Times New Roman" w:cs="Times New Roman"/>
          <w:sz w:val="24"/>
          <w:szCs w:val="24"/>
          <w:lang w:val="sl-SI"/>
        </w:rPr>
      </w:pPr>
    </w:p>
    <w:p w:rsidR="00A82B84" w:rsidRPr="00B43D50" w:rsidRDefault="00A82B84" w:rsidP="00CD142E">
      <w:pPr>
        <w:spacing w:after="0" w:line="20" w:lineRule="atLeast"/>
        <w:jc w:val="both"/>
        <w:rPr>
          <w:rFonts w:ascii="Times New Roman" w:hAnsi="Times New Roman" w:cs="Times New Roman"/>
          <w:sz w:val="24"/>
          <w:szCs w:val="24"/>
          <w:lang w:val="sl-SI"/>
        </w:rPr>
      </w:pPr>
    </w:p>
    <w:p w:rsidR="00204D2E" w:rsidRPr="00B43D50" w:rsidRDefault="00B00E79"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lastRenderedPageBreak/>
        <w:t xml:space="preserve">Član </w:t>
      </w:r>
      <w:r w:rsidR="00A82B84">
        <w:rPr>
          <w:rFonts w:ascii="Times New Roman" w:hAnsi="Times New Roman" w:cs="Times New Roman"/>
          <w:b/>
          <w:sz w:val="24"/>
          <w:szCs w:val="24"/>
          <w:lang w:val="sl-SI"/>
        </w:rPr>
        <w:t>5</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sidR="00A82B84">
        <w:rPr>
          <w:rFonts w:ascii="Times New Roman" w:hAnsi="Times New Roman" w:cs="Times New Roman"/>
          <w:b/>
          <w:color w:val="000000"/>
          <w:sz w:val="24"/>
          <w:szCs w:val="24"/>
        </w:rPr>
        <w:t xml:space="preserve"> </w:t>
      </w:r>
      <w:r w:rsidRPr="00B43D50">
        <w:rPr>
          <w:rFonts w:ascii="Times New Roman" w:hAnsi="Times New Roman" w:cs="Times New Roman"/>
          <w:sz w:val="24"/>
          <w:szCs w:val="24"/>
          <w:lang w:val="sl-SI"/>
        </w:rPr>
        <w:t xml:space="preserve">Stručni  nadzor nad realizacijom ugovora naručilac će vršiti preko </w:t>
      </w:r>
      <w:r w:rsidR="00A82B84">
        <w:rPr>
          <w:rFonts w:ascii="Times New Roman" w:hAnsi="Times New Roman" w:cs="Times New Roman"/>
          <w:sz w:val="24"/>
          <w:szCs w:val="24"/>
          <w:lang w:val="sl-SI"/>
        </w:rPr>
        <w:t>svojih zaposlenih slu</w:t>
      </w:r>
      <w:r w:rsidR="000C2883">
        <w:rPr>
          <w:rFonts w:ascii="Times New Roman" w:hAnsi="Times New Roman" w:cs="Times New Roman"/>
          <w:sz w:val="24"/>
          <w:szCs w:val="24"/>
          <w:lang w:val="sl-SI"/>
        </w:rPr>
        <w:t>ž</w:t>
      </w:r>
      <w:r w:rsidR="00A82B84">
        <w:rPr>
          <w:rFonts w:ascii="Times New Roman" w:hAnsi="Times New Roman" w:cs="Times New Roman"/>
          <w:sz w:val="24"/>
          <w:szCs w:val="24"/>
          <w:lang w:val="sl-SI"/>
        </w:rPr>
        <w:t>benika iz oblasti saobraćaja</w:t>
      </w:r>
      <w:r w:rsidRPr="00B43D50">
        <w:rPr>
          <w:rFonts w:ascii="Times New Roman" w:hAnsi="Times New Roman" w:cs="Times New Roman"/>
          <w:sz w:val="24"/>
          <w:szCs w:val="24"/>
          <w:lang w:val="sl-SI"/>
        </w:rPr>
        <w:t>, o čemu će pismeno obavijestiti izvođača.</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Naručilac će danom uvođenja u posao izvođača pismeno obavijestiti  </w:t>
      </w:r>
      <w:r w:rsidR="00A82B84">
        <w:rPr>
          <w:rFonts w:ascii="Times New Roman" w:hAnsi="Times New Roman" w:cs="Times New Roman"/>
          <w:sz w:val="24"/>
          <w:szCs w:val="24"/>
          <w:lang w:val="sl-SI"/>
        </w:rPr>
        <w:t>ko će</w:t>
      </w:r>
      <w:r w:rsidRPr="00B43D50">
        <w:rPr>
          <w:rFonts w:ascii="Times New Roman" w:hAnsi="Times New Roman" w:cs="Times New Roman"/>
          <w:sz w:val="24"/>
          <w:szCs w:val="24"/>
          <w:lang w:val="sl-SI"/>
        </w:rPr>
        <w:t xml:space="preserve"> vršiti  stručni nadzor  nad  izvodjenjem  radova  (u daljem tekstu: Nadzorni organ).</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230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487457">
        <w:rPr>
          <w:rFonts w:ascii="Times New Roman" w:hAnsi="Times New Roman" w:cs="Times New Roman"/>
          <w:b/>
          <w:sz w:val="24"/>
          <w:szCs w:val="24"/>
          <w:lang w:val="sl-SI"/>
        </w:rPr>
        <w:t>6</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ov1ašćen je da se stara i kontroliše realizaciju ovog ugovora </w:t>
      </w:r>
      <w:r w:rsidR="00A82B84">
        <w:rPr>
          <w:rFonts w:ascii="Times New Roman" w:hAnsi="Times New Roman" w:cs="Times New Roman"/>
          <w:bCs/>
          <w:sz w:val="24"/>
          <w:szCs w:val="24"/>
          <w:lang w:val="sr-Latn-CS"/>
        </w:rPr>
        <w:t>.</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nema pravo da oslobodi </w:t>
      </w:r>
      <w:r w:rsidR="000672E9" w:rsidRPr="00B43D50">
        <w:rPr>
          <w:rFonts w:ascii="Times New Roman" w:hAnsi="Times New Roman" w:cs="Times New Roman"/>
          <w:bCs/>
          <w:sz w:val="24"/>
          <w:szCs w:val="24"/>
          <w:lang w:val="sr-Latn-CS"/>
        </w:rPr>
        <w:t>izvodjača od bilo koje njegove dužnosti ili obaveze iz ugovora ukoliko za to ne dobije pismeno ovlašćenje od naručioca</w:t>
      </w:r>
      <w:r w:rsidRPr="00B43D50">
        <w:rPr>
          <w:rFonts w:ascii="Times New Roman" w:hAnsi="Times New Roman" w:cs="Times New Roman"/>
          <w:bCs/>
          <w:sz w:val="24"/>
          <w:szCs w:val="24"/>
          <w:lang w:val="sr-Latn-CS"/>
        </w:rPr>
        <w:t>.</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w:t>
      </w:r>
      <w:r w:rsidR="00280807" w:rsidRPr="00B43D50">
        <w:rPr>
          <w:rFonts w:ascii="Times New Roman" w:hAnsi="Times New Roman" w:cs="Times New Roman"/>
          <w:bCs/>
          <w:sz w:val="24"/>
          <w:szCs w:val="24"/>
          <w:lang w:val="sr-Latn-CS"/>
        </w:rPr>
        <w:t>zvodjača</w:t>
      </w:r>
      <w:r w:rsidRPr="00B43D50">
        <w:rPr>
          <w:rFonts w:ascii="Times New Roman" w:hAnsi="Times New Roman" w:cs="Times New Roman"/>
          <w:bCs/>
          <w:sz w:val="24"/>
          <w:szCs w:val="24"/>
          <w:lang w:val="sr-Latn-CS"/>
        </w:rPr>
        <w:t xml:space="preserve"> od njegove obaveze i odgovornosti za pravilno izvodjenje radova.</w:t>
      </w:r>
    </w:p>
    <w:p w:rsidR="00313F66" w:rsidRPr="00B43D50" w:rsidRDefault="00313F66" w:rsidP="00CD142E">
      <w:pPr>
        <w:spacing w:after="0" w:line="20" w:lineRule="atLeast"/>
        <w:jc w:val="both"/>
        <w:rPr>
          <w:rFonts w:ascii="Times New Roman" w:hAnsi="Times New Roman" w:cs="Times New Roman"/>
          <w:bCs/>
          <w:sz w:val="24"/>
          <w:szCs w:val="24"/>
          <w:lang w:val="sr-Latn-CS"/>
        </w:rPr>
      </w:pPr>
    </w:p>
    <w:p w:rsidR="00313F66" w:rsidRPr="00B43D50" w:rsidRDefault="00313F66" w:rsidP="00313F66">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487457">
        <w:rPr>
          <w:rFonts w:ascii="Times New Roman" w:hAnsi="Times New Roman" w:cs="Times New Roman"/>
          <w:b/>
          <w:color w:val="000000"/>
          <w:sz w:val="24"/>
          <w:szCs w:val="24"/>
          <w:lang w:val="pl-PL"/>
        </w:rPr>
        <w:t>7</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utvrdjuje izvodjač u prisustvu Nadzornog organa i podatke unosi u gradjevinsku knjigu.</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12134" w:rsidRPr="00B43D50" w:rsidRDefault="00312134" w:rsidP="00CD142E">
      <w:pPr>
        <w:spacing w:after="0" w:line="20" w:lineRule="atLeast"/>
        <w:jc w:val="both"/>
        <w:rPr>
          <w:rFonts w:ascii="Times New Roman" w:hAnsi="Times New Roman" w:cs="Times New Roman"/>
          <w:bCs/>
          <w:sz w:val="24"/>
          <w:szCs w:val="24"/>
          <w:lang w:val="sr-Latn-CS"/>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487457">
        <w:rPr>
          <w:rFonts w:ascii="Times New Roman" w:hAnsi="Times New Roman" w:cs="Times New Roman"/>
          <w:b/>
          <w:sz w:val="24"/>
          <w:szCs w:val="24"/>
          <w:lang w:val="sl-SI"/>
        </w:rPr>
        <w:t>8</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w:t>
      </w:r>
      <w:r w:rsidR="00280807" w:rsidRPr="00B43D5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B43D50">
        <w:rPr>
          <w:rFonts w:ascii="Times New Roman" w:hAnsi="Times New Roman" w:cs="Times New Roman"/>
          <w:sz w:val="24"/>
          <w:szCs w:val="24"/>
          <w:lang w:val="pl-PL"/>
        </w:rPr>
        <w:t xml:space="preserve">opisom, bitnim karakterstikama i obimom definisanim tenderskom dokumentacijom </w:t>
      </w:r>
      <w:r w:rsidR="00280807" w:rsidRPr="00B43D50">
        <w:rPr>
          <w:rFonts w:ascii="Times New Roman" w:hAnsi="Times New Roman" w:cs="Times New Roman"/>
          <w:sz w:val="24"/>
          <w:szCs w:val="24"/>
          <w:lang w:val="sl-SI"/>
        </w:rPr>
        <w:t xml:space="preserve">nadzorni organ će radove obustaviti i o tome obavjestiti naručioca </w:t>
      </w:r>
      <w:r w:rsidRPr="00B43D50">
        <w:rPr>
          <w:rFonts w:ascii="Times New Roman" w:hAnsi="Times New Roman" w:cs="Times New Roman"/>
          <w:sz w:val="24"/>
          <w:szCs w:val="24"/>
          <w:lang w:val="sl-SI"/>
        </w:rPr>
        <w:t>i nadležnu inspekciju i te okolnosti unijeti u gradjevinski dnevnik.</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w:t>
      </w:r>
      <w:r w:rsidR="00280807" w:rsidRPr="00B43D50">
        <w:rPr>
          <w:rFonts w:ascii="Times New Roman" w:hAnsi="Times New Roman" w:cs="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B43D50">
        <w:rPr>
          <w:rFonts w:ascii="Times New Roman" w:hAnsi="Times New Roman" w:cs="Times New Roman"/>
          <w:sz w:val="24"/>
          <w:szCs w:val="24"/>
          <w:lang w:val="pl-PL"/>
        </w:rPr>
        <w:t xml:space="preserve">opisima, bitnim karakterstikama </w:t>
      </w:r>
      <w:r w:rsidRPr="00B43D50">
        <w:rPr>
          <w:rFonts w:ascii="Times New Roman" w:hAnsi="Times New Roman" w:cs="Times New Roman"/>
          <w:sz w:val="24"/>
          <w:szCs w:val="24"/>
          <w:lang w:val="pl-PL"/>
        </w:rPr>
        <w:t>i obimom definisanim tenderskom dokumentacijom.</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w:t>
      </w:r>
      <w:r w:rsidR="00280807" w:rsidRPr="00B43D50">
        <w:rPr>
          <w:rFonts w:ascii="Times New Roman" w:hAnsi="Times New Roman" w:cs="Times New Roman"/>
          <w:sz w:val="24"/>
          <w:szCs w:val="24"/>
          <w:lang w:val="sl-SI"/>
        </w:rPr>
        <w:t xml:space="preserve">izvodjača pojave nesaglasnosti u pogledu materijala koji se ugradjuje, materijal se daje na ispitivanje kako </w:t>
      </w:r>
      <w:r w:rsidRPr="00B43D50">
        <w:rPr>
          <w:rFonts w:ascii="Times New Roman" w:hAnsi="Times New Roman" w:cs="Times New Roman"/>
          <w:sz w:val="24"/>
          <w:szCs w:val="24"/>
          <w:lang w:val="sl-SI"/>
        </w:rPr>
        <w:t xml:space="preserve">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Troškove ovog ispitivanja plaća </w:t>
      </w:r>
      <w:r w:rsidR="00280807" w:rsidRPr="00B43D50">
        <w:rPr>
          <w:rFonts w:ascii="Times New Roman" w:hAnsi="Times New Roman" w:cs="Times New Roman"/>
          <w:sz w:val="24"/>
          <w:szCs w:val="24"/>
          <w:lang w:val="sl-SI"/>
        </w:rPr>
        <w:t>izvodjač koji ima pravo da traži njihovu nadoknadu od naručioca, ako o</w:t>
      </w:r>
      <w:r w:rsidRPr="00B43D50">
        <w:rPr>
          <w:rFonts w:ascii="Times New Roman" w:hAnsi="Times New Roman" w:cs="Times New Roman"/>
          <w:sz w:val="24"/>
          <w:szCs w:val="24"/>
          <w:lang w:val="sl-SI"/>
        </w:rPr>
        <w:t>vaj nije bio u pravu.</w:t>
      </w:r>
    </w:p>
    <w:p w:rsidR="000672E9" w:rsidRPr="00C80BD2" w:rsidRDefault="00204D2E" w:rsidP="00CD142E">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xml:space="preserve">, </w:t>
      </w:r>
      <w:r w:rsidR="00280807" w:rsidRPr="00B43D50">
        <w:rPr>
          <w:rFonts w:ascii="Times New Roman" w:hAnsi="Times New Roman" w:cs="Times New Roman"/>
          <w:sz w:val="24"/>
          <w:szCs w:val="24"/>
          <w:lang w:val="sl-SI"/>
        </w:rPr>
        <w:t xml:space="preserve">izvodjač </w:t>
      </w:r>
      <w:r w:rsidRPr="00B43D50">
        <w:rPr>
          <w:rFonts w:ascii="Times New Roman" w:hAnsi="Times New Roman" w:cs="Times New Roman"/>
          <w:sz w:val="24"/>
          <w:szCs w:val="24"/>
          <w:lang w:val="sl-SI"/>
        </w:rPr>
        <w:t>mora o svom trošku da ukloni sa gradilišta u roku koji mu odredi Nadzorni organ.</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487457">
        <w:rPr>
          <w:rFonts w:ascii="Times New Roman" w:hAnsi="Times New Roman" w:cs="Times New Roman"/>
          <w:b/>
          <w:sz w:val="24"/>
          <w:szCs w:val="24"/>
          <w:lang w:val="sl-SI"/>
        </w:rPr>
        <w:t>9</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w:t>
      </w:r>
      <w:r w:rsidR="00487457">
        <w:rPr>
          <w:rFonts w:ascii="Times New Roman" w:hAnsi="Times New Roman" w:cs="Times New Roman"/>
          <w:sz w:val="24"/>
          <w:szCs w:val="24"/>
        </w:rPr>
        <w:t xml:space="preserve">ugrađeni </w:t>
      </w:r>
      <w:r w:rsidRPr="00B43D50">
        <w:rPr>
          <w:rFonts w:ascii="Times New Roman" w:hAnsi="Times New Roman" w:cs="Times New Roman"/>
          <w:sz w:val="24"/>
          <w:szCs w:val="24"/>
        </w:rPr>
        <w:t xml:space="preserve">materijal i oprema moraju odgovarati </w:t>
      </w:r>
      <w:r w:rsidRPr="00B43D50">
        <w:rPr>
          <w:rFonts w:ascii="Times New Roman" w:hAnsi="Times New Roman" w:cs="Times New Roman"/>
          <w:sz w:val="24"/>
          <w:szCs w:val="24"/>
          <w:lang w:val="pl-PL"/>
        </w:rPr>
        <w:t xml:space="preserve">opisu, bitnim karakteristikama i obimu definisanim Tenderskom dokumentacijom i Ponudom i prilikom </w:t>
      </w:r>
      <w:r w:rsidRPr="00B43D50">
        <w:rPr>
          <w:rFonts w:ascii="Times New Roman" w:hAnsi="Times New Roman" w:cs="Times New Roman"/>
          <w:sz w:val="24"/>
          <w:szCs w:val="24"/>
          <w:lang w:val="pl-PL"/>
        </w:rPr>
        <w:lastRenderedPageBreak/>
        <w:t>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w:t>
      </w:r>
      <w:r w:rsidR="000672E9" w:rsidRPr="00B43D50">
        <w:rPr>
          <w:rFonts w:ascii="Times New Roman" w:hAnsi="Times New Roman" w:cs="Times New Roman"/>
          <w:sz w:val="24"/>
          <w:szCs w:val="24"/>
          <w:lang w:val="sl-SI"/>
        </w:rPr>
        <w:t xml:space="preserve"> snosi Izvodjač.</w:t>
      </w:r>
    </w:p>
    <w:p w:rsidR="0006332F" w:rsidRPr="00B43D50" w:rsidRDefault="0006332F"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487457">
        <w:rPr>
          <w:rFonts w:ascii="Times New Roman" w:hAnsi="Times New Roman" w:cs="Times New Roman"/>
          <w:b/>
          <w:sz w:val="24"/>
          <w:szCs w:val="24"/>
          <w:lang w:val="sl-SI"/>
        </w:rPr>
        <w:t>0</w:t>
      </w:r>
    </w:p>
    <w:p w:rsidR="00204D2E"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Izvođač je dužan da  </w:t>
      </w:r>
      <w:r w:rsidR="002D6C8E">
        <w:rPr>
          <w:rFonts w:ascii="Times New Roman" w:hAnsi="Times New Roman" w:cs="Times New Roman"/>
          <w:sz w:val="24"/>
          <w:szCs w:val="24"/>
        </w:rPr>
        <w:t>u trenutku</w:t>
      </w:r>
      <w:r w:rsidRPr="00B43D50">
        <w:rPr>
          <w:rFonts w:ascii="Times New Roman" w:hAnsi="Times New Roman" w:cs="Times New Roman"/>
          <w:sz w:val="24"/>
          <w:szCs w:val="24"/>
        </w:rPr>
        <w:t xml:space="preserve"> zaključivanja ovog ugovora dostavi naručiocu:</w:t>
      </w:r>
    </w:p>
    <w:p w:rsidR="00A8376D" w:rsidRPr="00B43D50" w:rsidRDefault="00204D2E" w:rsidP="00A8376D">
      <w:pPr>
        <w:autoSpaceDE w:val="0"/>
        <w:autoSpaceDN w:val="0"/>
        <w:adjustRightInd w:val="0"/>
        <w:spacing w:after="0" w:line="240" w:lineRule="auto"/>
        <w:jc w:val="both"/>
        <w:rPr>
          <w:rFonts w:ascii="Times New Roman" w:hAnsi="Times New Roman" w:cs="Times New Roman"/>
          <w:sz w:val="24"/>
          <w:szCs w:val="24"/>
        </w:rPr>
      </w:pPr>
      <w:r w:rsidRPr="00B43D50">
        <w:rPr>
          <w:rFonts w:ascii="Times New Roman" w:hAnsi="Times New Roman" w:cs="Times New Roman"/>
          <w:sz w:val="24"/>
          <w:szCs w:val="24"/>
        </w:rPr>
        <w:t xml:space="preserve">-  garanciju za dobro izvršenje ugovora u iznosu od 5% od vrijednosti ugovora, sa rokom važnosti </w:t>
      </w:r>
      <w:r w:rsidRPr="00B43D50">
        <w:rPr>
          <w:rFonts w:ascii="Times New Roman" w:hAnsi="Times New Roman" w:cs="Times New Roman"/>
          <w:color w:val="000000"/>
          <w:sz w:val="24"/>
          <w:szCs w:val="24"/>
        </w:rPr>
        <w:t xml:space="preserve">za vrijeme </w:t>
      </w:r>
      <w:r w:rsidRPr="00B43D50">
        <w:rPr>
          <w:rFonts w:ascii="Times New Roman" w:hAnsi="Times New Roman" w:cs="Times New Roman"/>
          <w:iCs/>
          <w:sz w:val="24"/>
          <w:szCs w:val="24"/>
          <w:lang w:val="sr-Latn-CS"/>
        </w:rPr>
        <w:t>roka izvršenja Ugovora</w:t>
      </w:r>
      <w:r w:rsidRPr="00B43D50">
        <w:rPr>
          <w:rFonts w:ascii="Times New Roman" w:hAnsi="Times New Roman" w:cs="Times New Roman"/>
          <w:color w:val="000000"/>
          <w:sz w:val="24"/>
          <w:szCs w:val="24"/>
        </w:rPr>
        <w:t>.</w:t>
      </w:r>
      <w:r w:rsidRPr="00B43D50">
        <w:rPr>
          <w:rFonts w:ascii="Times New Roman" w:hAnsi="Times New Roman" w:cs="Times New Roman"/>
          <w:sz w:val="24"/>
          <w:szCs w:val="24"/>
          <w:lang w:val="es-ES"/>
        </w:rPr>
        <w:t xml:space="preserve"> Ova garancija mora da je bezuslovna i plativa na prvi poziv naručioca nakon nastanka razloga na koji se odnosi.</w:t>
      </w:r>
      <w:r w:rsidR="00A8376D" w:rsidRPr="00B43D5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204D2E" w:rsidRPr="00B43D50" w:rsidRDefault="00204D2E" w:rsidP="00A94835">
      <w:pPr>
        <w:spacing w:after="0" w:line="20" w:lineRule="atLeast"/>
        <w:jc w:val="both"/>
        <w:rPr>
          <w:rFonts w:ascii="Times New Roman" w:hAnsi="Times New Roman" w:cs="Times New Roman"/>
          <w:sz w:val="24"/>
          <w:szCs w:val="24"/>
          <w:lang w:val="es-ES"/>
        </w:rPr>
      </w:pPr>
    </w:p>
    <w:p w:rsidR="00204D2E" w:rsidRPr="00B43D5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487457">
        <w:rPr>
          <w:rFonts w:ascii="Times New Roman" w:hAnsi="Times New Roman" w:cs="Times New Roman"/>
          <w:b/>
          <w:sz w:val="24"/>
          <w:szCs w:val="24"/>
          <w:lang w:val="sl-SI"/>
        </w:rPr>
        <w:t>1</w:t>
      </w:r>
    </w:p>
    <w:p w:rsidR="00487457"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2 godine od dana primopredaje izvedenih radova. I</w:t>
      </w:r>
      <w:r w:rsidR="006029CD" w:rsidRPr="00B43D50">
        <w:rPr>
          <w:rFonts w:ascii="Times New Roman" w:hAnsi="Times New Roman" w:cs="Times New Roman"/>
          <w:sz w:val="24"/>
          <w:szCs w:val="24"/>
        </w:rPr>
        <w:t>zvodjač</w:t>
      </w:r>
      <w:r w:rsidRPr="00B43D50">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w:t>
      </w:r>
    </w:p>
    <w:p w:rsidR="008503C3"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 </w:t>
      </w:r>
    </w:p>
    <w:p w:rsidR="00204D2E" w:rsidRPr="00B43D50" w:rsidRDefault="00204D2E" w:rsidP="00CD142E">
      <w:pPr>
        <w:pStyle w:val="BodyText"/>
        <w:spacing w:line="20" w:lineRule="atLeast"/>
        <w:jc w:val="center"/>
        <w:rPr>
          <w:b/>
          <w:sz w:val="24"/>
          <w:szCs w:val="24"/>
          <w:lang w:val="sl-SI"/>
        </w:rPr>
      </w:pPr>
      <w:r w:rsidRPr="00B43D50">
        <w:rPr>
          <w:b/>
          <w:sz w:val="24"/>
          <w:szCs w:val="24"/>
          <w:lang w:val="sl-SI"/>
        </w:rPr>
        <w:t xml:space="preserve">Član </w:t>
      </w:r>
      <w:r w:rsidR="00C31FD3" w:rsidRPr="00B43D50">
        <w:rPr>
          <w:b/>
          <w:sz w:val="24"/>
          <w:szCs w:val="24"/>
          <w:lang w:val="sl-SI"/>
        </w:rPr>
        <w:t>1</w:t>
      </w:r>
      <w:r w:rsidR="003E0B3A">
        <w:rPr>
          <w:b/>
          <w:sz w:val="24"/>
          <w:szCs w:val="24"/>
          <w:lang w:val="sl-SI"/>
        </w:rPr>
        <w:t>2</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Obavijest da su radovi završeni </w:t>
      </w:r>
      <w:r w:rsidR="008503C3" w:rsidRPr="00B43D50">
        <w:rPr>
          <w:rFonts w:ascii="Times New Roman" w:hAnsi="Times New Roman" w:cs="Times New Roman"/>
          <w:sz w:val="24"/>
          <w:szCs w:val="24"/>
          <w:lang w:val="sl-SI"/>
        </w:rPr>
        <w:t xml:space="preserve">izvodjač podnosi naručiocu </w:t>
      </w:r>
      <w:r w:rsidRPr="00B43D50">
        <w:rPr>
          <w:rFonts w:ascii="Times New Roman" w:hAnsi="Times New Roman" w:cs="Times New Roman"/>
          <w:sz w:val="24"/>
          <w:szCs w:val="24"/>
          <w:lang w:val="sl-SI"/>
        </w:rPr>
        <w:t>preko Nadzornog organa.</w:t>
      </w:r>
    </w:p>
    <w:p w:rsidR="002D6C8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Strane ugovora su u obavezi da komisiji za pregled i primopredaja izvedenih radova, koju obrazuje </w:t>
      </w:r>
      <w:r w:rsidR="008503C3" w:rsidRPr="00B43D50">
        <w:rPr>
          <w:rFonts w:ascii="Times New Roman" w:hAnsi="Times New Roman" w:cs="Times New Roman"/>
          <w:sz w:val="24"/>
          <w:szCs w:val="24"/>
          <w:lang w:val="sl-SI"/>
        </w:rPr>
        <w:t>naručioc</w:t>
      </w:r>
      <w:r w:rsidRPr="00B43D50">
        <w:rPr>
          <w:rFonts w:ascii="Times New Roman" w:hAnsi="Times New Roman" w:cs="Times New Roman"/>
          <w:sz w:val="24"/>
          <w:szCs w:val="24"/>
          <w:lang w:val="sl-SI"/>
        </w:rPr>
        <w:t>, prije početka njenog rada, stave na raspolaganje svu dokumentaciju u vezi sa realizacijom ovog ugovora.</w:t>
      </w:r>
    </w:p>
    <w:p w:rsidR="00CD142E" w:rsidRPr="00B43D50" w:rsidRDefault="00CD142E" w:rsidP="00CD142E">
      <w:pPr>
        <w:pStyle w:val="BodyText"/>
        <w:spacing w:line="20" w:lineRule="atLeast"/>
        <w:jc w:val="center"/>
        <w:rPr>
          <w:b/>
          <w:sz w:val="24"/>
          <w:szCs w:val="24"/>
          <w:lang w:val="sl-SI"/>
        </w:rPr>
      </w:pPr>
    </w:p>
    <w:p w:rsidR="00585B8E" w:rsidRPr="00B43D50" w:rsidRDefault="00585B8E" w:rsidP="00CD142E">
      <w:pPr>
        <w:spacing w:after="0" w:line="20" w:lineRule="atLeast"/>
        <w:ind w:firstLine="426"/>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A8376D" w:rsidRPr="00B43D50">
        <w:rPr>
          <w:rFonts w:ascii="Times New Roman" w:hAnsi="Times New Roman" w:cs="Times New Roman"/>
          <w:b/>
          <w:color w:val="000000"/>
          <w:sz w:val="24"/>
          <w:szCs w:val="24"/>
          <w:lang w:val="pl-PL"/>
        </w:rPr>
        <w:t>1</w:t>
      </w:r>
      <w:r w:rsidR="003E0B3A">
        <w:rPr>
          <w:rFonts w:ascii="Times New Roman" w:hAnsi="Times New Roman" w:cs="Times New Roman"/>
          <w:b/>
          <w:color w:val="000000"/>
          <w:sz w:val="24"/>
          <w:szCs w:val="24"/>
          <w:lang w:val="pl-PL"/>
        </w:rPr>
        <w:t>3</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ne može raskinuti zbog neispunjenja neznatnog dijela ugovorene obaveze.</w:t>
      </w:r>
    </w:p>
    <w:p w:rsidR="00585B8E" w:rsidRPr="00B43D50" w:rsidRDefault="00585B8E" w:rsidP="00CD142E">
      <w:pPr>
        <w:spacing w:after="0" w:line="20" w:lineRule="atLeast"/>
        <w:jc w:val="both"/>
        <w:rPr>
          <w:rFonts w:ascii="Times New Roman" w:hAnsi="Times New Roman" w:cs="Times New Roman"/>
          <w:color w:val="000000"/>
          <w:sz w:val="24"/>
          <w:szCs w:val="24"/>
          <w:lang w:val="pl-PL"/>
        </w:rPr>
      </w:pPr>
    </w:p>
    <w:p w:rsidR="00585B8E" w:rsidRPr="00B43D50" w:rsidRDefault="00585B8E" w:rsidP="00CD142E">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3E0B3A">
        <w:rPr>
          <w:rFonts w:ascii="Times New Roman" w:hAnsi="Times New Roman" w:cs="Times New Roman"/>
          <w:b/>
          <w:color w:val="000000"/>
          <w:sz w:val="24"/>
          <w:szCs w:val="24"/>
          <w:lang w:val="pl-PL"/>
        </w:rPr>
        <w:t>14</w:t>
      </w:r>
    </w:p>
    <w:p w:rsidR="00585B8E"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8B42AA" w:rsidRDefault="008B42AA" w:rsidP="00CD142E">
      <w:pPr>
        <w:spacing w:after="0" w:line="20" w:lineRule="atLeast"/>
        <w:ind w:firstLine="426"/>
        <w:jc w:val="both"/>
        <w:rPr>
          <w:rFonts w:ascii="Times New Roman" w:hAnsi="Times New Roman" w:cs="Times New Roman"/>
          <w:color w:val="000000"/>
          <w:sz w:val="24"/>
          <w:szCs w:val="24"/>
          <w:lang w:val="pl-PL"/>
        </w:rPr>
      </w:pPr>
    </w:p>
    <w:p w:rsidR="008B42AA" w:rsidRPr="00B43D50" w:rsidRDefault="008B42AA" w:rsidP="00CD142E">
      <w:pPr>
        <w:spacing w:after="0" w:line="20" w:lineRule="atLeast"/>
        <w:ind w:firstLine="426"/>
        <w:jc w:val="both"/>
        <w:rPr>
          <w:rFonts w:ascii="Times New Roman" w:hAnsi="Times New Roman" w:cs="Times New Roman"/>
          <w:color w:val="000000"/>
          <w:sz w:val="24"/>
          <w:szCs w:val="24"/>
          <w:lang w:val="pl-PL"/>
        </w:rPr>
      </w:pPr>
    </w:p>
    <w:p w:rsidR="00585B8E" w:rsidRPr="00B43D50" w:rsidRDefault="00585B8E" w:rsidP="00CD142E">
      <w:pPr>
        <w:pStyle w:val="BodyText"/>
        <w:spacing w:line="20" w:lineRule="atLeast"/>
        <w:rPr>
          <w:b/>
          <w:color w:val="000000"/>
          <w:sz w:val="24"/>
          <w:szCs w:val="24"/>
          <w:lang w:val="pl-PL"/>
        </w:rPr>
      </w:pPr>
    </w:p>
    <w:p w:rsidR="00585B8E" w:rsidRPr="00B43D50" w:rsidRDefault="00E052BF" w:rsidP="00CD142E">
      <w:pPr>
        <w:pStyle w:val="BodyText"/>
        <w:spacing w:line="20" w:lineRule="atLeast"/>
        <w:jc w:val="center"/>
        <w:rPr>
          <w:b/>
          <w:color w:val="000000"/>
          <w:sz w:val="24"/>
          <w:szCs w:val="24"/>
          <w:lang w:val="pl-PL"/>
        </w:rPr>
      </w:pPr>
      <w:r w:rsidRPr="00B43D50">
        <w:rPr>
          <w:b/>
          <w:color w:val="000000"/>
          <w:sz w:val="24"/>
          <w:szCs w:val="24"/>
          <w:lang w:val="pl-PL"/>
        </w:rPr>
        <w:t xml:space="preserve">Član </w:t>
      </w:r>
      <w:r w:rsidR="003E0B3A">
        <w:rPr>
          <w:b/>
          <w:color w:val="000000"/>
          <w:sz w:val="24"/>
          <w:szCs w:val="24"/>
          <w:lang w:val="pl-PL"/>
        </w:rPr>
        <w:t>15</w:t>
      </w:r>
    </w:p>
    <w:p w:rsidR="00585B8E" w:rsidRPr="00B43D50" w:rsidRDefault="00585B8E" w:rsidP="00CD142E">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 xml:space="preserve">Ukoliko dođe do raskida ugovora i prekida radova, </w:t>
      </w:r>
      <w:r w:rsidR="00280807" w:rsidRPr="00B43D50">
        <w:rPr>
          <w:rFonts w:ascii="Times New Roman" w:hAnsi="Times New Roman" w:cs="Times New Roman"/>
          <w:sz w:val="24"/>
          <w:szCs w:val="24"/>
          <w:lang w:val="pl-PL"/>
        </w:rPr>
        <w:t xml:space="preserve">naručilac i izvođač </w:t>
      </w:r>
      <w:r w:rsidRPr="00B43D50">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Default="00585B8E" w:rsidP="00CD142E">
      <w:pPr>
        <w:spacing w:after="0" w:line="20" w:lineRule="atLeast"/>
        <w:jc w:val="center"/>
        <w:rPr>
          <w:rFonts w:ascii="Times New Roman" w:hAnsi="Times New Roman" w:cs="Times New Roman"/>
          <w:b/>
          <w:color w:val="000000"/>
          <w:sz w:val="24"/>
          <w:szCs w:val="24"/>
          <w:lang w:val="pl-PL"/>
        </w:rPr>
      </w:pPr>
    </w:p>
    <w:p w:rsidR="00C80BD2" w:rsidRDefault="00C80BD2" w:rsidP="00CD142E">
      <w:pPr>
        <w:spacing w:after="0" w:line="20" w:lineRule="atLeast"/>
        <w:jc w:val="center"/>
        <w:rPr>
          <w:rFonts w:ascii="Times New Roman" w:hAnsi="Times New Roman" w:cs="Times New Roman"/>
          <w:b/>
          <w:color w:val="000000"/>
          <w:sz w:val="24"/>
          <w:szCs w:val="24"/>
          <w:lang w:val="pl-PL"/>
        </w:rPr>
      </w:pPr>
    </w:p>
    <w:p w:rsidR="00C80BD2" w:rsidRDefault="00C80BD2" w:rsidP="00CD142E">
      <w:pPr>
        <w:spacing w:after="0" w:line="20" w:lineRule="atLeast"/>
        <w:jc w:val="center"/>
        <w:rPr>
          <w:rFonts w:ascii="Times New Roman" w:hAnsi="Times New Roman" w:cs="Times New Roman"/>
          <w:b/>
          <w:color w:val="000000"/>
          <w:sz w:val="24"/>
          <w:szCs w:val="24"/>
          <w:lang w:val="pl-PL"/>
        </w:rPr>
      </w:pPr>
    </w:p>
    <w:p w:rsidR="00C80BD2" w:rsidRDefault="00C80BD2" w:rsidP="00CD142E">
      <w:pPr>
        <w:spacing w:after="0" w:line="20" w:lineRule="atLeast"/>
        <w:jc w:val="center"/>
        <w:rPr>
          <w:rFonts w:ascii="Times New Roman" w:hAnsi="Times New Roman" w:cs="Times New Roman"/>
          <w:b/>
          <w:color w:val="000000"/>
          <w:sz w:val="24"/>
          <w:szCs w:val="24"/>
          <w:lang w:val="pl-PL"/>
        </w:rPr>
      </w:pPr>
    </w:p>
    <w:p w:rsidR="00C80BD2" w:rsidRPr="00B43D50" w:rsidRDefault="00C80BD2" w:rsidP="00CD142E">
      <w:pPr>
        <w:spacing w:after="0" w:line="20" w:lineRule="atLeast"/>
        <w:jc w:val="center"/>
        <w:rPr>
          <w:rFonts w:ascii="Times New Roman" w:hAnsi="Times New Roman" w:cs="Times New Roman"/>
          <w:b/>
          <w:color w:val="000000"/>
          <w:sz w:val="24"/>
          <w:szCs w:val="24"/>
          <w:lang w:val="pl-PL"/>
        </w:rPr>
      </w:pPr>
    </w:p>
    <w:p w:rsidR="00585B8E" w:rsidRPr="00C80BD2" w:rsidRDefault="00585B8E" w:rsidP="00C80BD2">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3E0B3A">
        <w:rPr>
          <w:rFonts w:ascii="Times New Roman" w:hAnsi="Times New Roman" w:cs="Times New Roman"/>
          <w:b/>
          <w:color w:val="000000"/>
          <w:sz w:val="24"/>
          <w:szCs w:val="24"/>
          <w:lang w:val="pl-PL"/>
        </w:rPr>
        <w:t>16</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585B8E" w:rsidRPr="00B43D50" w:rsidRDefault="00585B8E" w:rsidP="00CD142E">
      <w:pPr>
        <w:spacing w:after="0" w:line="20" w:lineRule="atLeast"/>
        <w:rPr>
          <w:rFonts w:ascii="Times New Roman" w:hAnsi="Times New Roman" w:cs="Times New Roman"/>
          <w:b/>
          <w:color w:val="000000"/>
          <w:sz w:val="24"/>
          <w:szCs w:val="24"/>
          <w:lang w:val="pl-PL"/>
        </w:rPr>
      </w:pPr>
    </w:p>
    <w:p w:rsidR="00585B8E" w:rsidRPr="00B43D50" w:rsidRDefault="00E052BF" w:rsidP="00CD142E">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3E0B3A">
        <w:rPr>
          <w:rFonts w:ascii="Times New Roman" w:hAnsi="Times New Roman" w:cs="Times New Roman"/>
          <w:b/>
          <w:color w:val="000000"/>
          <w:sz w:val="24"/>
          <w:szCs w:val="24"/>
          <w:lang w:val="pl-PL"/>
        </w:rPr>
        <w:t>17</w:t>
      </w:r>
    </w:p>
    <w:p w:rsidR="00585B8E" w:rsidRPr="00B43D50" w:rsidRDefault="00585B8E" w:rsidP="00CD142E">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E052BF" w:rsidRPr="00B43D50" w:rsidRDefault="00E052BF" w:rsidP="00CD142E">
      <w:pPr>
        <w:spacing w:after="0" w:line="20" w:lineRule="atLeast"/>
        <w:rPr>
          <w:rFonts w:ascii="Times New Roman" w:hAnsi="Times New Roman" w:cs="Times New Roman"/>
          <w:color w:val="000000"/>
          <w:sz w:val="24"/>
          <w:szCs w:val="24"/>
          <w:lang w:val="pl-PL"/>
        </w:rPr>
      </w:pPr>
    </w:p>
    <w:p w:rsidR="00AB0E37" w:rsidRPr="00B43D50" w:rsidRDefault="003E0B3A" w:rsidP="00CD142E">
      <w:pPr>
        <w:spacing w:after="0" w:line="20" w:lineRule="atLeast"/>
        <w:jc w:val="center"/>
        <w:rPr>
          <w:rFonts w:ascii="Times New Roman" w:hAnsi="Times New Roman" w:cs="Times New Roman"/>
          <w:b/>
          <w:sz w:val="24"/>
          <w:szCs w:val="24"/>
          <w:lang w:val="sl-SI"/>
        </w:rPr>
      </w:pPr>
      <w:r>
        <w:rPr>
          <w:rFonts w:ascii="Times New Roman" w:hAnsi="Times New Roman" w:cs="Times New Roman"/>
          <w:b/>
          <w:sz w:val="24"/>
          <w:szCs w:val="24"/>
          <w:lang w:val="sl-SI"/>
        </w:rPr>
        <w:t>Član 18</w:t>
      </w:r>
    </w:p>
    <w:p w:rsidR="00AB0E37" w:rsidRPr="00B43D50" w:rsidRDefault="00AB0E37" w:rsidP="00CD142E">
      <w:pPr>
        <w:spacing w:after="0" w:line="20" w:lineRule="atLeast"/>
        <w:jc w:val="both"/>
        <w:rPr>
          <w:rFonts w:ascii="Times New Roman" w:hAnsi="Times New Roman" w:cs="Times New Roman"/>
          <w:b/>
          <w:bCs/>
          <w:color w:val="000000"/>
          <w:sz w:val="24"/>
          <w:szCs w:val="24"/>
        </w:rPr>
      </w:pPr>
      <w:r w:rsidRPr="00B43D50">
        <w:rPr>
          <w:rFonts w:ascii="Times New Roman" w:hAnsi="Times New Roman" w:cs="Times New Roman"/>
          <w:sz w:val="24"/>
          <w:szCs w:val="24"/>
        </w:rPr>
        <w:t>Ovaj ugovor je pravno valjano zaključen i potpisan od dolje navedenih ovlašćenih zakonskih zastupnika strana ugovora i sačinjen u</w:t>
      </w:r>
      <w:r w:rsidRPr="00B43D50">
        <w:rPr>
          <w:rFonts w:ascii="Times New Roman" w:hAnsi="Times New Roman" w:cs="Times New Roman"/>
          <w:sz w:val="24"/>
          <w:szCs w:val="24"/>
          <w:lang w:val="sr-Latn-CS"/>
        </w:rPr>
        <w:t xml:space="preserve"> 6</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šest</w:t>
      </w:r>
      <w:r w:rsidRPr="00B43D50">
        <w:rPr>
          <w:rFonts w:ascii="Times New Roman" w:hAnsi="Times New Roman" w:cs="Times New Roman"/>
          <w:sz w:val="24"/>
          <w:szCs w:val="24"/>
        </w:rPr>
        <w:t>) istovjetnih primjeraka od kojih po</w:t>
      </w:r>
      <w:r w:rsidRPr="00B43D50">
        <w:rPr>
          <w:rFonts w:ascii="Times New Roman" w:hAnsi="Times New Roman" w:cs="Times New Roman"/>
          <w:sz w:val="24"/>
          <w:szCs w:val="24"/>
          <w:lang w:val="sr-Latn-CS"/>
        </w:rPr>
        <w:t xml:space="preserve"> 3</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tri</w:t>
      </w:r>
      <w:r w:rsidRPr="00B43D50">
        <w:rPr>
          <w:rFonts w:ascii="Times New Roman" w:hAnsi="Times New Roman" w:cs="Times New Roman"/>
          <w:sz w:val="24"/>
          <w:szCs w:val="24"/>
        </w:rPr>
        <w:t>) primjeraka</w:t>
      </w:r>
      <w:r w:rsidRPr="00B43D50">
        <w:rPr>
          <w:rFonts w:ascii="Times New Roman" w:hAnsi="Times New Roman" w:cs="Times New Roman"/>
          <w:sz w:val="24"/>
          <w:szCs w:val="24"/>
          <w:lang w:val="sr-Latn-CS"/>
        </w:rPr>
        <w:t>zadržavaju</w:t>
      </w:r>
      <w:r w:rsidRPr="00B43D50">
        <w:rPr>
          <w:rFonts w:ascii="Times New Roman" w:hAnsi="Times New Roman" w:cs="Times New Roman"/>
          <w:sz w:val="24"/>
          <w:szCs w:val="24"/>
        </w:rPr>
        <w:t xml:space="preserve">  Naruči</w:t>
      </w:r>
      <w:r w:rsidRPr="00B43D50">
        <w:rPr>
          <w:rFonts w:ascii="Times New Roman" w:hAnsi="Times New Roman" w:cs="Times New Roman"/>
          <w:sz w:val="24"/>
          <w:szCs w:val="24"/>
          <w:lang w:val="sr-Latn-CS"/>
        </w:rPr>
        <w:t>la</w:t>
      </w:r>
      <w:r w:rsidRPr="00B43D50">
        <w:rPr>
          <w:rFonts w:ascii="Times New Roman" w:hAnsi="Times New Roman" w:cs="Times New Roman"/>
          <w:sz w:val="24"/>
          <w:szCs w:val="24"/>
        </w:rPr>
        <w:t>ci Izvo</w:t>
      </w:r>
      <w:r w:rsidRPr="00B43D50">
        <w:rPr>
          <w:rFonts w:ascii="Times New Roman" w:hAnsi="Times New Roman" w:cs="Times New Roman"/>
          <w:sz w:val="24"/>
          <w:szCs w:val="24"/>
          <w:lang w:val="sr-Latn-CS"/>
        </w:rPr>
        <w:t>đ</w:t>
      </w:r>
      <w:r w:rsidRPr="00B43D50">
        <w:rPr>
          <w:rFonts w:ascii="Times New Roman" w:hAnsi="Times New Roman" w:cs="Times New Roman"/>
          <w:sz w:val="24"/>
          <w:szCs w:val="24"/>
        </w:rPr>
        <w:t>ač .</w:t>
      </w: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312134" w:rsidRPr="00B43D50" w:rsidRDefault="00312134" w:rsidP="00CD142E">
      <w:pPr>
        <w:spacing w:after="0" w:line="20" w:lineRule="atLeast"/>
        <w:jc w:val="both"/>
        <w:rPr>
          <w:rFonts w:ascii="Times New Roman" w:hAnsi="Times New Roman" w:cs="Times New Roman"/>
          <w:sz w:val="24"/>
          <w:szCs w:val="24"/>
          <w:lang w:val="sr-Latn-CS"/>
        </w:rPr>
      </w:pP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NARUČILAC</w:t>
      </w:r>
      <w:r w:rsidRPr="00B43D50">
        <w:rPr>
          <w:rFonts w:ascii="Times New Roman" w:hAnsi="Times New Roman" w:cs="Times New Roman"/>
          <w:b/>
          <w:bCs/>
          <w:color w:val="000000"/>
          <w:sz w:val="24"/>
          <w:szCs w:val="24"/>
        </w:rPr>
        <w:tab/>
      </w:r>
      <w:r w:rsidRPr="00B43D50">
        <w:rPr>
          <w:rFonts w:ascii="Times New Roman" w:hAnsi="Times New Roman" w:cs="Times New Roman"/>
          <w:color w:val="000000"/>
          <w:sz w:val="24"/>
          <w:szCs w:val="24"/>
        </w:rPr>
        <w:t xml:space="preserve">                                                         IZVOĐAČ</w:t>
      </w: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_____________________________</w:t>
      </w:r>
      <w:r w:rsidRPr="00B43D50">
        <w:rPr>
          <w:rFonts w:ascii="Times New Roman" w:hAnsi="Times New Roman" w:cs="Times New Roman"/>
          <w:color w:val="000000"/>
          <w:sz w:val="24"/>
          <w:szCs w:val="24"/>
        </w:rPr>
        <w:tab/>
      </w:r>
      <w:r w:rsidRPr="00B43D50">
        <w:rPr>
          <w:rFonts w:ascii="Times New Roman" w:hAnsi="Times New Roman" w:cs="Times New Roman"/>
          <w:color w:val="000000"/>
          <w:sz w:val="24"/>
          <w:szCs w:val="24"/>
        </w:rPr>
        <w:tab/>
        <w:t xml:space="preserve">                ______________________________</w:t>
      </w:r>
    </w:p>
    <w:p w:rsidR="00AB0E37" w:rsidRPr="00B43D50" w:rsidRDefault="00AB0E37" w:rsidP="00CD142E">
      <w:pPr>
        <w:spacing w:after="0" w:line="20" w:lineRule="atLeast"/>
        <w:jc w:val="both"/>
        <w:rPr>
          <w:rFonts w:ascii="Times New Roman" w:hAnsi="Times New Roman" w:cs="Times New Roman"/>
          <w:color w:val="000000"/>
          <w:sz w:val="24"/>
          <w:szCs w:val="24"/>
        </w:rPr>
      </w:pPr>
    </w:p>
    <w:p w:rsidR="00CD142E" w:rsidRPr="00B43D50" w:rsidRDefault="00CD142E" w:rsidP="00CD142E">
      <w:pPr>
        <w:spacing w:after="0" w:line="20" w:lineRule="atLeast"/>
        <w:jc w:val="both"/>
        <w:rPr>
          <w:rFonts w:ascii="Times New Roman" w:hAnsi="Times New Roman" w:cs="Times New Roman"/>
          <w:color w:val="000000"/>
          <w:sz w:val="24"/>
          <w:szCs w:val="24"/>
        </w:rPr>
      </w:pPr>
    </w:p>
    <w:p w:rsidR="00A94835" w:rsidRPr="00B43D50" w:rsidRDefault="00A94835" w:rsidP="00CD142E">
      <w:pPr>
        <w:spacing w:after="0" w:line="20" w:lineRule="atLeast"/>
        <w:jc w:val="both"/>
        <w:rPr>
          <w:rFonts w:ascii="Times New Roman" w:hAnsi="Times New Roman" w:cs="Times New Roman"/>
          <w:color w:val="000000"/>
          <w:sz w:val="24"/>
          <w:szCs w:val="24"/>
        </w:rPr>
      </w:pPr>
    </w:p>
    <w:p w:rsidR="00AB0E37" w:rsidRPr="00B43D50" w:rsidRDefault="00AB0E37" w:rsidP="00CD142E">
      <w:pPr>
        <w:spacing w:after="0" w:line="20" w:lineRule="atLeast"/>
        <w:jc w:val="center"/>
        <w:rPr>
          <w:rFonts w:ascii="Times New Roman" w:hAnsi="Times New Roman" w:cs="Times New Roman"/>
          <w:b/>
          <w:bCs/>
          <w:color w:val="000000"/>
          <w:sz w:val="24"/>
          <w:szCs w:val="24"/>
        </w:rPr>
      </w:pPr>
      <w:r w:rsidRPr="00B43D50">
        <w:rPr>
          <w:rFonts w:ascii="Times New Roman" w:hAnsi="Times New Roman" w:cs="Times New Roman"/>
          <w:b/>
          <w:bCs/>
          <w:color w:val="000000"/>
          <w:sz w:val="24"/>
          <w:szCs w:val="24"/>
        </w:rPr>
        <w:t>SAGLASAN SA NACRTOM  UGOVORA</w:t>
      </w:r>
    </w:p>
    <w:p w:rsidR="00AB0E37" w:rsidRPr="00B43D50" w:rsidRDefault="00AB0E37" w:rsidP="00CD142E">
      <w:pPr>
        <w:spacing w:after="0" w:line="20" w:lineRule="atLeast"/>
        <w:jc w:val="both"/>
        <w:rPr>
          <w:rFonts w:ascii="Times New Roman" w:hAnsi="Times New Roman" w:cs="Times New Roman"/>
          <w:sz w:val="24"/>
          <w:szCs w:val="24"/>
        </w:rPr>
      </w:pPr>
    </w:p>
    <w:p w:rsidR="00AB0E37" w:rsidRPr="00B43D50" w:rsidRDefault="00AB0E37" w:rsidP="00CD142E">
      <w:pPr>
        <w:tabs>
          <w:tab w:val="left" w:pos="1950"/>
        </w:tabs>
        <w:spacing w:after="0" w:line="20" w:lineRule="atLeast"/>
        <w:jc w:val="right"/>
        <w:rPr>
          <w:rFonts w:ascii="Times New Roman" w:hAnsi="Times New Roman" w:cs="Times New Roman"/>
          <w:b/>
          <w:bCs/>
          <w:sz w:val="24"/>
          <w:szCs w:val="24"/>
        </w:rPr>
      </w:pPr>
      <w:r w:rsidRPr="00B43D50">
        <w:rPr>
          <w:rFonts w:ascii="Times New Roman" w:hAnsi="Times New Roman" w:cs="Times New Roman"/>
          <w:b/>
          <w:bCs/>
          <w:sz w:val="24"/>
          <w:szCs w:val="24"/>
        </w:rPr>
        <w:t xml:space="preserve">  Ovlašćeno lice ponuđača _______________________</w:t>
      </w:r>
    </w:p>
    <w:p w:rsidR="00AB0E37" w:rsidRPr="00B43D50" w:rsidRDefault="00AB0E37" w:rsidP="00CD142E">
      <w:pPr>
        <w:spacing w:after="0" w:line="20" w:lineRule="atLeast"/>
        <w:ind w:right="336" w:firstLine="567"/>
        <w:jc w:val="right"/>
        <w:rPr>
          <w:rFonts w:ascii="Times New Roman" w:hAnsi="Times New Roman" w:cs="Times New Roman"/>
          <w:sz w:val="24"/>
          <w:szCs w:val="24"/>
        </w:rPr>
      </w:pPr>
      <w:r w:rsidRPr="00B43D50">
        <w:rPr>
          <w:rFonts w:ascii="Times New Roman" w:hAnsi="Times New Roman" w:cs="Times New Roman"/>
          <w:sz w:val="24"/>
          <w:szCs w:val="24"/>
        </w:rPr>
        <w:t>(ime, prezime i funkcija)</w:t>
      </w:r>
    </w:p>
    <w:p w:rsidR="00AB0E37" w:rsidRPr="00B43D50" w:rsidRDefault="00AB0E37" w:rsidP="00CD142E">
      <w:pPr>
        <w:spacing w:after="0" w:line="20" w:lineRule="atLeast"/>
        <w:ind w:firstLine="567"/>
        <w:jc w:val="right"/>
        <w:rPr>
          <w:rFonts w:ascii="Times New Roman" w:hAnsi="Times New Roman" w:cs="Times New Roman"/>
          <w:sz w:val="24"/>
          <w:szCs w:val="24"/>
        </w:rPr>
      </w:pPr>
      <w:r w:rsidRPr="00B43D50">
        <w:rPr>
          <w:rFonts w:ascii="Times New Roman" w:hAnsi="Times New Roman" w:cs="Times New Roman"/>
          <w:sz w:val="24"/>
          <w:szCs w:val="24"/>
        </w:rPr>
        <w:t>_______________________</w:t>
      </w:r>
    </w:p>
    <w:p w:rsidR="00153592" w:rsidRPr="00B43D50" w:rsidRDefault="00AB0E37" w:rsidP="00CD142E">
      <w:pPr>
        <w:spacing w:after="0" w:line="20" w:lineRule="atLeast"/>
        <w:ind w:right="588"/>
        <w:jc w:val="right"/>
        <w:rPr>
          <w:rFonts w:ascii="Times New Roman" w:hAnsi="Times New Roman" w:cs="Times New Roman"/>
          <w:sz w:val="24"/>
          <w:szCs w:val="24"/>
        </w:rPr>
      </w:pPr>
      <w:r w:rsidRPr="00B43D50">
        <w:rPr>
          <w:rFonts w:ascii="Times New Roman" w:hAnsi="Times New Roman" w:cs="Times New Roman"/>
          <w:sz w:val="24"/>
          <w:szCs w:val="24"/>
        </w:rPr>
        <w:t>(svojeručni potpis)</w:t>
      </w:r>
    </w:p>
    <w:p w:rsidR="00831448" w:rsidRPr="00B43D50" w:rsidRDefault="00831448" w:rsidP="00CD142E">
      <w:pPr>
        <w:spacing w:after="0" w:line="20" w:lineRule="atLeast"/>
        <w:ind w:right="588"/>
        <w:jc w:val="right"/>
        <w:rPr>
          <w:rFonts w:ascii="Times New Roman" w:hAnsi="Times New Roman" w:cs="Times New Roman"/>
          <w:sz w:val="24"/>
          <w:szCs w:val="24"/>
        </w:rPr>
      </w:pPr>
    </w:p>
    <w:p w:rsidR="00E052BF" w:rsidRPr="00B43D50" w:rsidRDefault="00E052BF" w:rsidP="00CD142E">
      <w:pPr>
        <w:spacing w:after="0" w:line="20" w:lineRule="atLeast"/>
        <w:ind w:right="588"/>
        <w:jc w:val="right"/>
        <w:rPr>
          <w:rFonts w:ascii="Times New Roman" w:hAnsi="Times New Roman" w:cs="Times New Roman"/>
          <w:sz w:val="24"/>
          <w:szCs w:val="24"/>
        </w:rPr>
      </w:pPr>
    </w:p>
    <w:p w:rsidR="00E052BF" w:rsidRPr="00B43D50" w:rsidRDefault="00E052BF" w:rsidP="00CD142E">
      <w:pPr>
        <w:spacing w:after="0" w:line="20" w:lineRule="atLeast"/>
        <w:ind w:right="588"/>
        <w:jc w:val="right"/>
        <w:rPr>
          <w:rFonts w:ascii="Times New Roman" w:hAnsi="Times New Roman" w:cs="Times New Roman"/>
          <w:sz w:val="24"/>
          <w:szCs w:val="24"/>
        </w:rPr>
      </w:pPr>
    </w:p>
    <w:p w:rsidR="00831448" w:rsidRPr="00B43D50" w:rsidRDefault="00831448" w:rsidP="00CD142E">
      <w:pPr>
        <w:spacing w:after="0" w:line="20" w:lineRule="atLeast"/>
        <w:ind w:right="588"/>
        <w:jc w:val="right"/>
        <w:rPr>
          <w:rFonts w:ascii="Times New Roman" w:hAnsi="Times New Roman" w:cs="Times New Roman"/>
          <w:sz w:val="24"/>
          <w:szCs w:val="24"/>
        </w:rPr>
      </w:pPr>
    </w:p>
    <w:p w:rsidR="008A6185" w:rsidRPr="00B43D50" w:rsidRDefault="00153592" w:rsidP="00953487">
      <w:pPr>
        <w:tabs>
          <w:tab w:val="left" w:pos="1950"/>
        </w:tabs>
        <w:spacing w:after="0" w:line="20" w:lineRule="atLeast"/>
        <w:jc w:val="center"/>
        <w:rPr>
          <w:rFonts w:ascii="Times New Roman" w:hAnsi="Times New Roman" w:cs="Times New Roman"/>
          <w:i/>
          <w:iCs/>
          <w:color w:val="000000"/>
          <w:sz w:val="24"/>
          <w:szCs w:val="24"/>
          <w:lang w:val="pl-PL"/>
        </w:rPr>
      </w:pPr>
      <w:r w:rsidRPr="00B43D50">
        <w:rPr>
          <w:rFonts w:ascii="Times New Roman" w:hAnsi="Times New Roman" w:cs="Times New Roman"/>
          <w:i/>
          <w:iCs/>
          <w:color w:val="000000"/>
          <w:sz w:val="24"/>
          <w:szCs w:val="24"/>
        </w:rPr>
        <w:t>Napomena: Konačni tekst ugovora o javnoj nabavci biće sačinjen u skladu sa članom 107 stav 2 Zakona o javnim nabavkama</w:t>
      </w:r>
      <w:r w:rsidRPr="00B43D50">
        <w:rPr>
          <w:rFonts w:ascii="Times New Roman" w:hAnsi="Times New Roman" w:cs="Times New Roman"/>
          <w:color w:val="000000"/>
          <w:sz w:val="24"/>
          <w:szCs w:val="24"/>
          <w:lang w:val="pl-PL"/>
        </w:rPr>
        <w:t xml:space="preserve"> („Službeni list CG”, br.</w:t>
      </w:r>
      <w:r w:rsidRPr="00B43D50">
        <w:rPr>
          <w:rFonts w:ascii="Times New Roman" w:hAnsi="Times New Roman" w:cs="Times New Roman"/>
          <w:i/>
          <w:iCs/>
          <w:color w:val="000000"/>
          <w:sz w:val="24"/>
          <w:szCs w:val="24"/>
          <w:lang w:val="pl-PL"/>
        </w:rPr>
        <w:t>42/11, 57/14, 28/15 i 42/17).</w:t>
      </w:r>
    </w:p>
    <w:p w:rsidR="008A6185" w:rsidRPr="00B43D50"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8A6185"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C80BD2" w:rsidRDefault="00C80BD2" w:rsidP="00312134">
      <w:pPr>
        <w:tabs>
          <w:tab w:val="left" w:pos="1950"/>
        </w:tabs>
        <w:spacing w:after="0" w:line="20" w:lineRule="atLeast"/>
        <w:jc w:val="center"/>
        <w:rPr>
          <w:rFonts w:ascii="Times New Roman" w:hAnsi="Times New Roman" w:cs="Times New Roman"/>
          <w:i/>
          <w:iCs/>
          <w:color w:val="000000"/>
          <w:sz w:val="24"/>
          <w:szCs w:val="24"/>
          <w:lang w:val="pl-PL"/>
        </w:rPr>
      </w:pPr>
    </w:p>
    <w:p w:rsidR="00C80BD2" w:rsidRDefault="00C80BD2" w:rsidP="00312134">
      <w:pPr>
        <w:tabs>
          <w:tab w:val="left" w:pos="1950"/>
        </w:tabs>
        <w:spacing w:after="0" w:line="20" w:lineRule="atLeast"/>
        <w:jc w:val="center"/>
        <w:rPr>
          <w:rFonts w:ascii="Times New Roman" w:hAnsi="Times New Roman" w:cs="Times New Roman"/>
          <w:i/>
          <w:iCs/>
          <w:color w:val="000000"/>
          <w:sz w:val="24"/>
          <w:szCs w:val="24"/>
          <w:lang w:val="pl-PL"/>
        </w:rPr>
      </w:pPr>
    </w:p>
    <w:p w:rsidR="00C80BD2" w:rsidRDefault="00C80BD2" w:rsidP="00312134">
      <w:pPr>
        <w:tabs>
          <w:tab w:val="left" w:pos="1950"/>
        </w:tabs>
        <w:spacing w:after="0" w:line="20" w:lineRule="atLeast"/>
        <w:jc w:val="center"/>
        <w:rPr>
          <w:rFonts w:ascii="Times New Roman" w:hAnsi="Times New Roman" w:cs="Times New Roman"/>
          <w:i/>
          <w:iCs/>
          <w:color w:val="000000"/>
          <w:sz w:val="24"/>
          <w:szCs w:val="24"/>
          <w:lang w:val="pl-PL"/>
        </w:rPr>
      </w:pPr>
    </w:p>
    <w:p w:rsidR="00C80BD2" w:rsidRPr="00B43D50" w:rsidRDefault="00C80BD2" w:rsidP="00312134">
      <w:pPr>
        <w:tabs>
          <w:tab w:val="left" w:pos="1950"/>
        </w:tabs>
        <w:spacing w:after="0" w:line="20" w:lineRule="atLeast"/>
        <w:jc w:val="center"/>
        <w:rPr>
          <w:rFonts w:ascii="Times New Roman" w:hAnsi="Times New Roman" w:cs="Times New Roman"/>
          <w:i/>
          <w:iCs/>
          <w:color w:val="000000"/>
          <w:sz w:val="24"/>
          <w:szCs w:val="24"/>
          <w:lang w:val="pl-PL"/>
        </w:rPr>
      </w:pPr>
    </w:p>
    <w:p w:rsidR="0021635B" w:rsidRPr="00B43D50"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4" w:name="_Toc12006989"/>
      <w:r w:rsidRPr="00B43D50">
        <w:rPr>
          <w:i w:val="0"/>
          <w:iCs w:val="0"/>
          <w:sz w:val="24"/>
          <w:szCs w:val="24"/>
          <w:u w:val="none"/>
        </w:rPr>
        <w:lastRenderedPageBreak/>
        <w:t>UPUTSTVO PONUĐAČIMA ZA SAČINJAVANJE I PODNOŠENJE PONUDE</w:t>
      </w:r>
      <w:bookmarkEnd w:id="24"/>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radi učešća u postupku javne nabavke sačinjava i podnosi ponudu u skladu sa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80BD2" w:rsidRDefault="00C80BD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F27879" w:rsidRDefault="00F27879" w:rsidP="00153592">
      <w:pPr>
        <w:rPr>
          <w:rFonts w:ascii="Times New Roman" w:hAnsi="Times New Roman" w:cs="Times New Roman"/>
        </w:rPr>
      </w:pPr>
    </w:p>
    <w:p w:rsidR="00F27879" w:rsidRDefault="00F27879" w:rsidP="00153592">
      <w:pPr>
        <w:rPr>
          <w:rFonts w:ascii="Times New Roman" w:hAnsi="Times New Roman" w:cs="Times New Roman"/>
        </w:rPr>
      </w:pPr>
    </w:p>
    <w:p w:rsidR="00F27879" w:rsidRDefault="00F27879"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06990"/>
      <w:r w:rsidRPr="00852493">
        <w:rPr>
          <w:i w:val="0"/>
          <w:iCs w:val="0"/>
          <w:u w:val="none"/>
        </w:rPr>
        <w:t>OVLAŠĆENJE ZA ZASTUPANJE I UČESTVOVANJE U POSTUPKU JAVNOG OTVARANJA PONUDA</w:t>
      </w:r>
      <w:bookmarkEnd w:id="25"/>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06991"/>
      <w:r>
        <w:rPr>
          <w:i w:val="0"/>
          <w:iCs w:val="0"/>
          <w:u w:val="none"/>
        </w:rPr>
        <w:t>UPUTSTVO</w:t>
      </w:r>
      <w:r w:rsidRPr="00852493">
        <w:rPr>
          <w:i w:val="0"/>
          <w:iCs w:val="0"/>
          <w:u w:val="none"/>
        </w:rPr>
        <w:t xml:space="preserve"> O PRAVNOM SREDSTVU</w:t>
      </w:r>
      <w:bookmarkEnd w:id="26"/>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18" w:rsidRDefault="00D16918" w:rsidP="00D65C8A">
      <w:pPr>
        <w:spacing w:after="0" w:line="240" w:lineRule="auto"/>
      </w:pPr>
      <w:r>
        <w:separator/>
      </w:r>
    </w:p>
  </w:endnote>
  <w:endnote w:type="continuationSeparator" w:id="0">
    <w:p w:rsidR="00D16918" w:rsidRDefault="00D16918"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270567" w:rsidRDefault="00270567" w:rsidP="00ED76FB">
        <w:pPr>
          <w:jc w:val="right"/>
        </w:pPr>
        <w:r>
          <w:t xml:space="preserve">Strana  </w:t>
        </w:r>
        <w:r w:rsidR="00505EF3">
          <w:rPr>
            <w:noProof/>
          </w:rPr>
          <w:fldChar w:fldCharType="begin"/>
        </w:r>
        <w:r>
          <w:rPr>
            <w:noProof/>
          </w:rPr>
          <w:instrText xml:space="preserve"> PAGE </w:instrText>
        </w:r>
        <w:r w:rsidR="00505EF3">
          <w:rPr>
            <w:noProof/>
          </w:rPr>
          <w:fldChar w:fldCharType="separate"/>
        </w:r>
        <w:r w:rsidR="00C97EA5">
          <w:rPr>
            <w:noProof/>
          </w:rPr>
          <w:t>40</w:t>
        </w:r>
        <w:r w:rsidR="00505EF3">
          <w:rPr>
            <w:noProof/>
          </w:rPr>
          <w:fldChar w:fldCharType="end"/>
        </w:r>
        <w:r>
          <w:t xml:space="preserve"> od </w:t>
        </w:r>
        <w:r w:rsidR="00505EF3">
          <w:rPr>
            <w:noProof/>
          </w:rPr>
          <w:fldChar w:fldCharType="begin"/>
        </w:r>
        <w:r>
          <w:rPr>
            <w:noProof/>
          </w:rPr>
          <w:instrText xml:space="preserve"> NUMPAGES  </w:instrText>
        </w:r>
        <w:r w:rsidR="00505EF3">
          <w:rPr>
            <w:noProof/>
          </w:rPr>
          <w:fldChar w:fldCharType="separate"/>
        </w:r>
        <w:r w:rsidR="00C97EA5">
          <w:rPr>
            <w:noProof/>
          </w:rPr>
          <w:t>40</w:t>
        </w:r>
        <w:r w:rsidR="00505EF3">
          <w:rPr>
            <w:noProof/>
          </w:rPr>
          <w:fldChar w:fldCharType="end"/>
        </w:r>
      </w:p>
    </w:sdtContent>
  </w:sdt>
  <w:p w:rsidR="00270567" w:rsidRPr="000074F9" w:rsidRDefault="00270567" w:rsidP="000A336C">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18" w:rsidRDefault="00D16918" w:rsidP="00D65C8A">
      <w:pPr>
        <w:spacing w:after="0" w:line="240" w:lineRule="auto"/>
      </w:pPr>
      <w:r>
        <w:separator/>
      </w:r>
    </w:p>
  </w:footnote>
  <w:footnote w:type="continuationSeparator" w:id="0">
    <w:p w:rsidR="00D16918" w:rsidRDefault="00D16918" w:rsidP="00D65C8A">
      <w:pPr>
        <w:spacing w:after="0" w:line="240" w:lineRule="auto"/>
      </w:pPr>
      <w:r>
        <w:continuationSeparator/>
      </w:r>
    </w:p>
  </w:footnote>
  <w:footnote w:id="1">
    <w:p w:rsidR="00270567" w:rsidRDefault="00270567" w:rsidP="00FC625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270567" w:rsidRDefault="00270567" w:rsidP="00FC625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270567" w:rsidRDefault="00270567" w:rsidP="00FC625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270567" w:rsidRPr="007E1F59" w:rsidRDefault="0027056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70567" w:rsidRDefault="00270567" w:rsidP="00D65C8A">
      <w:pPr>
        <w:pStyle w:val="FootnoteText"/>
        <w:rPr>
          <w:rFonts w:cs="Times New Roman"/>
        </w:rPr>
      </w:pPr>
    </w:p>
  </w:footnote>
  <w:footnote w:id="5">
    <w:p w:rsidR="00270567" w:rsidRPr="007E1F59" w:rsidRDefault="00270567"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70567" w:rsidRDefault="00270567" w:rsidP="00D65C8A">
      <w:pPr>
        <w:pStyle w:val="FootnoteText"/>
        <w:jc w:val="both"/>
        <w:rPr>
          <w:rFonts w:cs="Times New Roman"/>
        </w:rPr>
      </w:pPr>
    </w:p>
  </w:footnote>
  <w:footnote w:id="6">
    <w:p w:rsidR="00270567" w:rsidRDefault="0027056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70567" w:rsidRDefault="00270567"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70567" w:rsidRPr="007E1F59" w:rsidRDefault="0027056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70567" w:rsidRDefault="00270567" w:rsidP="00D65C8A">
      <w:pPr>
        <w:pStyle w:val="FootnoteText"/>
        <w:rPr>
          <w:rFonts w:cs="Times New Roman"/>
        </w:rPr>
      </w:pPr>
    </w:p>
  </w:footnote>
  <w:footnote w:id="9">
    <w:p w:rsidR="00270567" w:rsidRPr="00EF3747" w:rsidRDefault="00270567"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70567" w:rsidRDefault="00270567" w:rsidP="00D65C8A">
      <w:pPr>
        <w:pStyle w:val="FootnoteText"/>
        <w:rPr>
          <w:rFonts w:cs="Times New Roman"/>
        </w:rPr>
      </w:pPr>
    </w:p>
  </w:footnote>
  <w:footnote w:id="10">
    <w:p w:rsidR="00270567" w:rsidRPr="007E1F59" w:rsidRDefault="0027056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70567" w:rsidRDefault="00270567" w:rsidP="00D65C8A">
      <w:pPr>
        <w:pStyle w:val="FootnoteText"/>
        <w:rPr>
          <w:rFonts w:cs="Times New Roman"/>
        </w:rPr>
      </w:pPr>
    </w:p>
  </w:footnote>
  <w:footnote w:id="11">
    <w:p w:rsidR="00270567" w:rsidRPr="007F6785" w:rsidRDefault="00270567"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70567" w:rsidRDefault="00270567" w:rsidP="00D65C8A">
      <w:pPr>
        <w:pStyle w:val="FootnoteText"/>
        <w:jc w:val="both"/>
        <w:rPr>
          <w:rFonts w:cs="Times New Roman"/>
        </w:rPr>
      </w:pPr>
    </w:p>
  </w:footnote>
  <w:footnote w:id="12">
    <w:p w:rsidR="00270567" w:rsidRDefault="0027056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70567" w:rsidRPr="00FA6401" w:rsidRDefault="00270567"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70567" w:rsidRDefault="00270567" w:rsidP="0088503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70567" w:rsidRDefault="00270567" w:rsidP="00885030">
      <w:pPr>
        <w:pStyle w:val="FootnoteText"/>
        <w:rPr>
          <w:rFonts w:cs="Times New Roman"/>
        </w:rPr>
      </w:pPr>
    </w:p>
  </w:footnote>
  <w:footnote w:id="15">
    <w:p w:rsidR="00270567" w:rsidRDefault="00270567"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67" w:rsidRDefault="00270567">
    <w:pPr>
      <w:pStyle w:val="Header"/>
      <w:jc w:val="right"/>
      <w:rPr>
        <w:rFonts w:cs="Times New Roman"/>
      </w:rPr>
    </w:pPr>
  </w:p>
  <w:p w:rsidR="00270567" w:rsidRDefault="0027056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D632578"/>
    <w:multiLevelType w:val="hybridMultilevel"/>
    <w:tmpl w:val="89EE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FFE097B"/>
    <w:multiLevelType w:val="hybridMultilevel"/>
    <w:tmpl w:val="B014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724BD"/>
    <w:multiLevelType w:val="hybridMultilevel"/>
    <w:tmpl w:val="89EE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6"/>
  </w:num>
  <w:num w:numId="4">
    <w:abstractNumId w:val="27"/>
  </w:num>
  <w:num w:numId="5">
    <w:abstractNumId w:val="41"/>
  </w:num>
  <w:num w:numId="6">
    <w:abstractNumId w:val="12"/>
  </w:num>
  <w:num w:numId="7">
    <w:abstractNumId w:val="37"/>
  </w:num>
  <w:num w:numId="8">
    <w:abstractNumId w:val="23"/>
  </w:num>
  <w:num w:numId="9">
    <w:abstractNumId w:val="7"/>
  </w:num>
  <w:num w:numId="10">
    <w:abstractNumId w:val="39"/>
  </w:num>
  <w:num w:numId="11">
    <w:abstractNumId w:val="21"/>
  </w:num>
  <w:num w:numId="12">
    <w:abstractNumId w:val="31"/>
  </w:num>
  <w:num w:numId="13">
    <w:abstractNumId w:val="46"/>
  </w:num>
  <w:num w:numId="14">
    <w:abstractNumId w:val="47"/>
  </w:num>
  <w:num w:numId="15">
    <w:abstractNumId w:val="34"/>
  </w:num>
  <w:num w:numId="16">
    <w:abstractNumId w:val="9"/>
  </w:num>
  <w:num w:numId="17">
    <w:abstractNumId w:val="45"/>
  </w:num>
  <w:num w:numId="18">
    <w:abstractNumId w:val="6"/>
  </w:num>
  <w:num w:numId="19">
    <w:abstractNumId w:val="1"/>
  </w:num>
  <w:num w:numId="20">
    <w:abstractNumId w:val="8"/>
  </w:num>
  <w:num w:numId="21">
    <w:abstractNumId w:val="15"/>
  </w:num>
  <w:num w:numId="22">
    <w:abstractNumId w:val="3"/>
  </w:num>
  <w:num w:numId="23">
    <w:abstractNumId w:val="40"/>
  </w:num>
  <w:num w:numId="24">
    <w:abstractNumId w:val="38"/>
  </w:num>
  <w:num w:numId="25">
    <w:abstractNumId w:val="35"/>
  </w:num>
  <w:num w:numId="26">
    <w:abstractNumId w:val="17"/>
  </w:num>
  <w:num w:numId="27">
    <w:abstractNumId w:val="10"/>
  </w:num>
  <w:num w:numId="28">
    <w:abstractNumId w:val="5"/>
  </w:num>
  <w:num w:numId="29">
    <w:abstractNumId w:val="25"/>
  </w:num>
  <w:num w:numId="30">
    <w:abstractNumId w:val="30"/>
  </w:num>
  <w:num w:numId="31">
    <w:abstractNumId w:val="29"/>
  </w:num>
  <w:num w:numId="32">
    <w:abstractNumId w:val="43"/>
  </w:num>
  <w:num w:numId="33">
    <w:abstractNumId w:val="28"/>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2"/>
  </w:num>
  <w:num w:numId="36">
    <w:abstractNumId w:val="24"/>
  </w:num>
  <w:num w:numId="37">
    <w:abstractNumId w:val="13"/>
  </w:num>
  <w:num w:numId="38">
    <w:abstractNumId w:val="16"/>
  </w:num>
  <w:num w:numId="39">
    <w:abstractNumId w:val="19"/>
  </w:num>
  <w:num w:numId="40">
    <w:abstractNumId w:val="18"/>
  </w:num>
  <w:num w:numId="41">
    <w:abstractNumId w:val="14"/>
  </w:num>
  <w:num w:numId="42">
    <w:abstractNumId w:val="42"/>
  </w:num>
  <w:num w:numId="43">
    <w:abstractNumId w:val="22"/>
  </w:num>
  <w:num w:numId="44">
    <w:abstractNumId w:val="4"/>
  </w:num>
  <w:num w:numId="45">
    <w:abstractNumId w:val="2"/>
  </w:num>
  <w:num w:numId="46">
    <w:abstractNumId w:val="36"/>
  </w:num>
  <w:num w:numId="47">
    <w:abstractNumId w:val="33"/>
  </w:num>
  <w:num w:numId="48">
    <w:abstractNumId w:val="4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02"/>
  </w:hdrShapeDefaults>
  <w:footnotePr>
    <w:footnote w:id="-1"/>
    <w:footnote w:id="0"/>
  </w:footnotePr>
  <w:endnotePr>
    <w:endnote w:id="-1"/>
    <w:endnote w:id="0"/>
  </w:endnotePr>
  <w:compat/>
  <w:rsids>
    <w:rsidRoot w:val="00D65C8A"/>
    <w:rsid w:val="000044CB"/>
    <w:rsid w:val="00007307"/>
    <w:rsid w:val="00014EF1"/>
    <w:rsid w:val="00016277"/>
    <w:rsid w:val="00020F92"/>
    <w:rsid w:val="0003382E"/>
    <w:rsid w:val="00036E53"/>
    <w:rsid w:val="00041B55"/>
    <w:rsid w:val="00041BDC"/>
    <w:rsid w:val="00050193"/>
    <w:rsid w:val="00056BC3"/>
    <w:rsid w:val="0006332F"/>
    <w:rsid w:val="000635D9"/>
    <w:rsid w:val="00064341"/>
    <w:rsid w:val="00066367"/>
    <w:rsid w:val="00066864"/>
    <w:rsid w:val="000672E9"/>
    <w:rsid w:val="00070A92"/>
    <w:rsid w:val="00071AFD"/>
    <w:rsid w:val="00071B35"/>
    <w:rsid w:val="00072010"/>
    <w:rsid w:val="0007410F"/>
    <w:rsid w:val="000971CB"/>
    <w:rsid w:val="00097B6C"/>
    <w:rsid w:val="000A00B1"/>
    <w:rsid w:val="000A1062"/>
    <w:rsid w:val="000A295C"/>
    <w:rsid w:val="000A336C"/>
    <w:rsid w:val="000A442A"/>
    <w:rsid w:val="000B3C7B"/>
    <w:rsid w:val="000B4C8A"/>
    <w:rsid w:val="000B59B8"/>
    <w:rsid w:val="000C25CF"/>
    <w:rsid w:val="000C2883"/>
    <w:rsid w:val="000C2C3D"/>
    <w:rsid w:val="000D1ABE"/>
    <w:rsid w:val="000D2401"/>
    <w:rsid w:val="000D46CF"/>
    <w:rsid w:val="000D74F7"/>
    <w:rsid w:val="000D7E5C"/>
    <w:rsid w:val="000E2FB1"/>
    <w:rsid w:val="000E3DAC"/>
    <w:rsid w:val="000F46BD"/>
    <w:rsid w:val="000F7235"/>
    <w:rsid w:val="000F7F4C"/>
    <w:rsid w:val="000F7F61"/>
    <w:rsid w:val="00100C03"/>
    <w:rsid w:val="00112617"/>
    <w:rsid w:val="00113E8C"/>
    <w:rsid w:val="00114AA0"/>
    <w:rsid w:val="001174E1"/>
    <w:rsid w:val="001211F1"/>
    <w:rsid w:val="00124A67"/>
    <w:rsid w:val="00126239"/>
    <w:rsid w:val="00126BEB"/>
    <w:rsid w:val="00126C70"/>
    <w:rsid w:val="00126FA5"/>
    <w:rsid w:val="00130D4D"/>
    <w:rsid w:val="0013425D"/>
    <w:rsid w:val="00134FAE"/>
    <w:rsid w:val="001368DD"/>
    <w:rsid w:val="001435D7"/>
    <w:rsid w:val="001500DC"/>
    <w:rsid w:val="00153592"/>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D0AD4"/>
    <w:rsid w:val="001D0F68"/>
    <w:rsid w:val="001D1EAC"/>
    <w:rsid w:val="001D5B73"/>
    <w:rsid w:val="001E307B"/>
    <w:rsid w:val="001E315E"/>
    <w:rsid w:val="001E3C07"/>
    <w:rsid w:val="001E5CF3"/>
    <w:rsid w:val="001E7240"/>
    <w:rsid w:val="001E7FC2"/>
    <w:rsid w:val="001F3040"/>
    <w:rsid w:val="001F4819"/>
    <w:rsid w:val="001F55F4"/>
    <w:rsid w:val="0020390D"/>
    <w:rsid w:val="00204D2E"/>
    <w:rsid w:val="00211EF6"/>
    <w:rsid w:val="002133D7"/>
    <w:rsid w:val="0021363E"/>
    <w:rsid w:val="00214851"/>
    <w:rsid w:val="0021635B"/>
    <w:rsid w:val="002268E7"/>
    <w:rsid w:val="00227257"/>
    <w:rsid w:val="00230D38"/>
    <w:rsid w:val="0024030C"/>
    <w:rsid w:val="00240A3D"/>
    <w:rsid w:val="0024118E"/>
    <w:rsid w:val="0024177B"/>
    <w:rsid w:val="00241FC1"/>
    <w:rsid w:val="00244D00"/>
    <w:rsid w:val="00245544"/>
    <w:rsid w:val="00246D8C"/>
    <w:rsid w:val="0025478A"/>
    <w:rsid w:val="00255266"/>
    <w:rsid w:val="00255715"/>
    <w:rsid w:val="00261B90"/>
    <w:rsid w:val="00261E60"/>
    <w:rsid w:val="00264480"/>
    <w:rsid w:val="00264630"/>
    <w:rsid w:val="00270567"/>
    <w:rsid w:val="002706D4"/>
    <w:rsid w:val="0027090F"/>
    <w:rsid w:val="002723C6"/>
    <w:rsid w:val="00273644"/>
    <w:rsid w:val="002762E9"/>
    <w:rsid w:val="00280807"/>
    <w:rsid w:val="00285741"/>
    <w:rsid w:val="0028579B"/>
    <w:rsid w:val="00285B92"/>
    <w:rsid w:val="002874AE"/>
    <w:rsid w:val="0029009B"/>
    <w:rsid w:val="00290855"/>
    <w:rsid w:val="002913FC"/>
    <w:rsid w:val="00292EAE"/>
    <w:rsid w:val="00293A4F"/>
    <w:rsid w:val="00294934"/>
    <w:rsid w:val="002A0130"/>
    <w:rsid w:val="002A1BCE"/>
    <w:rsid w:val="002A1E4A"/>
    <w:rsid w:val="002A3782"/>
    <w:rsid w:val="002B3BB2"/>
    <w:rsid w:val="002B462B"/>
    <w:rsid w:val="002C3489"/>
    <w:rsid w:val="002C3CF5"/>
    <w:rsid w:val="002D2CF0"/>
    <w:rsid w:val="002D6622"/>
    <w:rsid w:val="002D6C8E"/>
    <w:rsid w:val="002E61E7"/>
    <w:rsid w:val="002E7AE4"/>
    <w:rsid w:val="002F0FF0"/>
    <w:rsid w:val="002F2662"/>
    <w:rsid w:val="00300EE5"/>
    <w:rsid w:val="00312134"/>
    <w:rsid w:val="00313F66"/>
    <w:rsid w:val="003162AF"/>
    <w:rsid w:val="003212D2"/>
    <w:rsid w:val="00324B26"/>
    <w:rsid w:val="00326E39"/>
    <w:rsid w:val="003303B7"/>
    <w:rsid w:val="00333F23"/>
    <w:rsid w:val="00334919"/>
    <w:rsid w:val="003365D5"/>
    <w:rsid w:val="00340FE6"/>
    <w:rsid w:val="00341DCF"/>
    <w:rsid w:val="003437D7"/>
    <w:rsid w:val="0034559F"/>
    <w:rsid w:val="003460B0"/>
    <w:rsid w:val="00346703"/>
    <w:rsid w:val="00350C91"/>
    <w:rsid w:val="00351112"/>
    <w:rsid w:val="0035230E"/>
    <w:rsid w:val="00357E60"/>
    <w:rsid w:val="0036349D"/>
    <w:rsid w:val="00374FB9"/>
    <w:rsid w:val="0037533B"/>
    <w:rsid w:val="00376DE6"/>
    <w:rsid w:val="0038049A"/>
    <w:rsid w:val="00381069"/>
    <w:rsid w:val="00383C9B"/>
    <w:rsid w:val="00383EAB"/>
    <w:rsid w:val="003968A0"/>
    <w:rsid w:val="00397A9F"/>
    <w:rsid w:val="003A0846"/>
    <w:rsid w:val="003A73B7"/>
    <w:rsid w:val="003A78B7"/>
    <w:rsid w:val="003B0144"/>
    <w:rsid w:val="003B3359"/>
    <w:rsid w:val="003B6B76"/>
    <w:rsid w:val="003C105B"/>
    <w:rsid w:val="003C1177"/>
    <w:rsid w:val="003C165E"/>
    <w:rsid w:val="003C3900"/>
    <w:rsid w:val="003C656B"/>
    <w:rsid w:val="003E0B3A"/>
    <w:rsid w:val="003E4325"/>
    <w:rsid w:val="003E7F55"/>
    <w:rsid w:val="003F126A"/>
    <w:rsid w:val="00400B94"/>
    <w:rsid w:val="00405E94"/>
    <w:rsid w:val="0040625A"/>
    <w:rsid w:val="0041095D"/>
    <w:rsid w:val="00411738"/>
    <w:rsid w:val="004121D5"/>
    <w:rsid w:val="00413056"/>
    <w:rsid w:val="00416169"/>
    <w:rsid w:val="004165FF"/>
    <w:rsid w:val="00421C30"/>
    <w:rsid w:val="00422958"/>
    <w:rsid w:val="004308E5"/>
    <w:rsid w:val="00432B14"/>
    <w:rsid w:val="00435EDE"/>
    <w:rsid w:val="004406E5"/>
    <w:rsid w:val="00453DA0"/>
    <w:rsid w:val="00454BD1"/>
    <w:rsid w:val="00455EA3"/>
    <w:rsid w:val="0046406D"/>
    <w:rsid w:val="00464730"/>
    <w:rsid w:val="00471FD5"/>
    <w:rsid w:val="004760E0"/>
    <w:rsid w:val="0047635A"/>
    <w:rsid w:val="00476E37"/>
    <w:rsid w:val="0047741B"/>
    <w:rsid w:val="004800AB"/>
    <w:rsid w:val="00480B71"/>
    <w:rsid w:val="00487457"/>
    <w:rsid w:val="004918F3"/>
    <w:rsid w:val="00492E1E"/>
    <w:rsid w:val="00495D93"/>
    <w:rsid w:val="004A23D5"/>
    <w:rsid w:val="004A3F17"/>
    <w:rsid w:val="004A7C6B"/>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6F1"/>
    <w:rsid w:val="00500C7D"/>
    <w:rsid w:val="00505EF3"/>
    <w:rsid w:val="00507EA0"/>
    <w:rsid w:val="00510682"/>
    <w:rsid w:val="00513426"/>
    <w:rsid w:val="00513EAB"/>
    <w:rsid w:val="00513EB2"/>
    <w:rsid w:val="005227B4"/>
    <w:rsid w:val="00524169"/>
    <w:rsid w:val="005335B9"/>
    <w:rsid w:val="00535B28"/>
    <w:rsid w:val="00537D6B"/>
    <w:rsid w:val="00547009"/>
    <w:rsid w:val="00550165"/>
    <w:rsid w:val="00551CEA"/>
    <w:rsid w:val="00554161"/>
    <w:rsid w:val="00554EEA"/>
    <w:rsid w:val="0055596E"/>
    <w:rsid w:val="0055607B"/>
    <w:rsid w:val="005607CA"/>
    <w:rsid w:val="00563E7F"/>
    <w:rsid w:val="00566795"/>
    <w:rsid w:val="00570A50"/>
    <w:rsid w:val="005726BC"/>
    <w:rsid w:val="005746BF"/>
    <w:rsid w:val="00574E9F"/>
    <w:rsid w:val="005830B1"/>
    <w:rsid w:val="00585B8E"/>
    <w:rsid w:val="0058603B"/>
    <w:rsid w:val="0058658B"/>
    <w:rsid w:val="0059140F"/>
    <w:rsid w:val="00592A93"/>
    <w:rsid w:val="00595967"/>
    <w:rsid w:val="005B2F32"/>
    <w:rsid w:val="005C4945"/>
    <w:rsid w:val="005C582D"/>
    <w:rsid w:val="005D0D6D"/>
    <w:rsid w:val="005D3BFC"/>
    <w:rsid w:val="005D68F7"/>
    <w:rsid w:val="005E468B"/>
    <w:rsid w:val="005F0B53"/>
    <w:rsid w:val="005F1707"/>
    <w:rsid w:val="005F35A5"/>
    <w:rsid w:val="005F37D5"/>
    <w:rsid w:val="005F4DB5"/>
    <w:rsid w:val="006002E4"/>
    <w:rsid w:val="006029CD"/>
    <w:rsid w:val="00603F08"/>
    <w:rsid w:val="0060574E"/>
    <w:rsid w:val="00615657"/>
    <w:rsid w:val="00620989"/>
    <w:rsid w:val="0062449C"/>
    <w:rsid w:val="006276CF"/>
    <w:rsid w:val="00633F7F"/>
    <w:rsid w:val="00634D59"/>
    <w:rsid w:val="0064352B"/>
    <w:rsid w:val="006440F8"/>
    <w:rsid w:val="00646832"/>
    <w:rsid w:val="00652A15"/>
    <w:rsid w:val="00653050"/>
    <w:rsid w:val="00653981"/>
    <w:rsid w:val="0065607D"/>
    <w:rsid w:val="00666F31"/>
    <w:rsid w:val="0068129F"/>
    <w:rsid w:val="00690ED0"/>
    <w:rsid w:val="006945A1"/>
    <w:rsid w:val="00695DB2"/>
    <w:rsid w:val="006961FF"/>
    <w:rsid w:val="00696DC0"/>
    <w:rsid w:val="006A0F46"/>
    <w:rsid w:val="006A66C3"/>
    <w:rsid w:val="006B0DCB"/>
    <w:rsid w:val="006B27A5"/>
    <w:rsid w:val="006B42A9"/>
    <w:rsid w:val="006B76D9"/>
    <w:rsid w:val="006B7F4D"/>
    <w:rsid w:val="006C28D8"/>
    <w:rsid w:val="006C4A69"/>
    <w:rsid w:val="006C5D0A"/>
    <w:rsid w:val="006D342B"/>
    <w:rsid w:val="006D3A1B"/>
    <w:rsid w:val="006D6B39"/>
    <w:rsid w:val="006E3B6D"/>
    <w:rsid w:val="006E4589"/>
    <w:rsid w:val="006F187C"/>
    <w:rsid w:val="006F2AAD"/>
    <w:rsid w:val="006F3A8C"/>
    <w:rsid w:val="006F489E"/>
    <w:rsid w:val="006F58B2"/>
    <w:rsid w:val="006F7443"/>
    <w:rsid w:val="00700153"/>
    <w:rsid w:val="00700AA1"/>
    <w:rsid w:val="00703383"/>
    <w:rsid w:val="00704142"/>
    <w:rsid w:val="0070658D"/>
    <w:rsid w:val="00707545"/>
    <w:rsid w:val="0071037C"/>
    <w:rsid w:val="0072392E"/>
    <w:rsid w:val="00723F0D"/>
    <w:rsid w:val="00726541"/>
    <w:rsid w:val="0073449E"/>
    <w:rsid w:val="00734BD9"/>
    <w:rsid w:val="00735859"/>
    <w:rsid w:val="00737175"/>
    <w:rsid w:val="00737D21"/>
    <w:rsid w:val="00747143"/>
    <w:rsid w:val="0075666A"/>
    <w:rsid w:val="00760379"/>
    <w:rsid w:val="00764367"/>
    <w:rsid w:val="0076444A"/>
    <w:rsid w:val="007652C9"/>
    <w:rsid w:val="007703A2"/>
    <w:rsid w:val="00777F0A"/>
    <w:rsid w:val="0078280C"/>
    <w:rsid w:val="007834FB"/>
    <w:rsid w:val="00783823"/>
    <w:rsid w:val="00783F07"/>
    <w:rsid w:val="00791420"/>
    <w:rsid w:val="00793B9F"/>
    <w:rsid w:val="00797818"/>
    <w:rsid w:val="007B10C1"/>
    <w:rsid w:val="007B1A30"/>
    <w:rsid w:val="007C1C1F"/>
    <w:rsid w:val="007C4B87"/>
    <w:rsid w:val="007C5F2C"/>
    <w:rsid w:val="007C729E"/>
    <w:rsid w:val="007D48CA"/>
    <w:rsid w:val="007D7857"/>
    <w:rsid w:val="007E0A6A"/>
    <w:rsid w:val="007E1CFA"/>
    <w:rsid w:val="007E4170"/>
    <w:rsid w:val="007F055A"/>
    <w:rsid w:val="007F0840"/>
    <w:rsid w:val="007F24F9"/>
    <w:rsid w:val="007F5A78"/>
    <w:rsid w:val="00800559"/>
    <w:rsid w:val="00800613"/>
    <w:rsid w:val="00802C70"/>
    <w:rsid w:val="008036A6"/>
    <w:rsid w:val="00806B1D"/>
    <w:rsid w:val="00810B3C"/>
    <w:rsid w:val="008132AB"/>
    <w:rsid w:val="0081615D"/>
    <w:rsid w:val="008200E7"/>
    <w:rsid w:val="00821776"/>
    <w:rsid w:val="008233B7"/>
    <w:rsid w:val="0082428B"/>
    <w:rsid w:val="0082468E"/>
    <w:rsid w:val="00824E25"/>
    <w:rsid w:val="00825AAE"/>
    <w:rsid w:val="00827AAE"/>
    <w:rsid w:val="008310D9"/>
    <w:rsid w:val="00831448"/>
    <w:rsid w:val="00837C10"/>
    <w:rsid w:val="00842173"/>
    <w:rsid w:val="008503C3"/>
    <w:rsid w:val="008521B2"/>
    <w:rsid w:val="00854A0A"/>
    <w:rsid w:val="008565AA"/>
    <w:rsid w:val="00857295"/>
    <w:rsid w:val="00875A3C"/>
    <w:rsid w:val="0087635F"/>
    <w:rsid w:val="00876DCC"/>
    <w:rsid w:val="00880C13"/>
    <w:rsid w:val="00882988"/>
    <w:rsid w:val="00884B51"/>
    <w:rsid w:val="00885030"/>
    <w:rsid w:val="008855EA"/>
    <w:rsid w:val="0089297B"/>
    <w:rsid w:val="00897DD4"/>
    <w:rsid w:val="008A209F"/>
    <w:rsid w:val="008A6185"/>
    <w:rsid w:val="008B04BA"/>
    <w:rsid w:val="008B21AB"/>
    <w:rsid w:val="008B3B1A"/>
    <w:rsid w:val="008B42AA"/>
    <w:rsid w:val="008B773C"/>
    <w:rsid w:val="008C368E"/>
    <w:rsid w:val="008D3459"/>
    <w:rsid w:val="008E0976"/>
    <w:rsid w:val="008E0F53"/>
    <w:rsid w:val="008E5238"/>
    <w:rsid w:val="008E7C46"/>
    <w:rsid w:val="00900F8F"/>
    <w:rsid w:val="009029DC"/>
    <w:rsid w:val="00906815"/>
    <w:rsid w:val="00907F45"/>
    <w:rsid w:val="0091355F"/>
    <w:rsid w:val="00920E0E"/>
    <w:rsid w:val="00921A5F"/>
    <w:rsid w:val="00922927"/>
    <w:rsid w:val="00922AB2"/>
    <w:rsid w:val="009258CD"/>
    <w:rsid w:val="0093077F"/>
    <w:rsid w:val="00931467"/>
    <w:rsid w:val="00941A4C"/>
    <w:rsid w:val="00944E0F"/>
    <w:rsid w:val="00945026"/>
    <w:rsid w:val="009466CA"/>
    <w:rsid w:val="009503C1"/>
    <w:rsid w:val="00953487"/>
    <w:rsid w:val="0095738C"/>
    <w:rsid w:val="00957BBE"/>
    <w:rsid w:val="009611C4"/>
    <w:rsid w:val="00963159"/>
    <w:rsid w:val="0097169C"/>
    <w:rsid w:val="0097378D"/>
    <w:rsid w:val="009758CC"/>
    <w:rsid w:val="00976AE2"/>
    <w:rsid w:val="00980310"/>
    <w:rsid w:val="00984940"/>
    <w:rsid w:val="009868D1"/>
    <w:rsid w:val="00996F14"/>
    <w:rsid w:val="009A0787"/>
    <w:rsid w:val="009A07D7"/>
    <w:rsid w:val="009A1F27"/>
    <w:rsid w:val="009A47C9"/>
    <w:rsid w:val="009A73F7"/>
    <w:rsid w:val="009B0C83"/>
    <w:rsid w:val="009B5221"/>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716"/>
    <w:rsid w:val="00A0588B"/>
    <w:rsid w:val="00A06865"/>
    <w:rsid w:val="00A14721"/>
    <w:rsid w:val="00A15909"/>
    <w:rsid w:val="00A2064C"/>
    <w:rsid w:val="00A31E19"/>
    <w:rsid w:val="00A363BD"/>
    <w:rsid w:val="00A40193"/>
    <w:rsid w:val="00A41039"/>
    <w:rsid w:val="00A44AB7"/>
    <w:rsid w:val="00A60D3F"/>
    <w:rsid w:val="00A60F73"/>
    <w:rsid w:val="00A6295C"/>
    <w:rsid w:val="00A63CED"/>
    <w:rsid w:val="00A64566"/>
    <w:rsid w:val="00A65243"/>
    <w:rsid w:val="00A76050"/>
    <w:rsid w:val="00A76854"/>
    <w:rsid w:val="00A77F47"/>
    <w:rsid w:val="00A82B84"/>
    <w:rsid w:val="00A8376D"/>
    <w:rsid w:val="00A85696"/>
    <w:rsid w:val="00A87B72"/>
    <w:rsid w:val="00A92DBA"/>
    <w:rsid w:val="00A934EB"/>
    <w:rsid w:val="00A94835"/>
    <w:rsid w:val="00A96F19"/>
    <w:rsid w:val="00A97E51"/>
    <w:rsid w:val="00AA4840"/>
    <w:rsid w:val="00AA5554"/>
    <w:rsid w:val="00AA7320"/>
    <w:rsid w:val="00AB0E37"/>
    <w:rsid w:val="00AC088C"/>
    <w:rsid w:val="00AC3545"/>
    <w:rsid w:val="00AC4C7C"/>
    <w:rsid w:val="00AC55BD"/>
    <w:rsid w:val="00AC7D59"/>
    <w:rsid w:val="00AD073B"/>
    <w:rsid w:val="00AD0D0A"/>
    <w:rsid w:val="00AD199C"/>
    <w:rsid w:val="00AD3FE1"/>
    <w:rsid w:val="00AD674A"/>
    <w:rsid w:val="00AE5002"/>
    <w:rsid w:val="00AE781C"/>
    <w:rsid w:val="00AF2EF6"/>
    <w:rsid w:val="00AF456C"/>
    <w:rsid w:val="00AF7F15"/>
    <w:rsid w:val="00B00E79"/>
    <w:rsid w:val="00B17BBC"/>
    <w:rsid w:val="00B20BA4"/>
    <w:rsid w:val="00B211B5"/>
    <w:rsid w:val="00B246FD"/>
    <w:rsid w:val="00B24BD4"/>
    <w:rsid w:val="00B2746C"/>
    <w:rsid w:val="00B3199B"/>
    <w:rsid w:val="00B31D39"/>
    <w:rsid w:val="00B327FE"/>
    <w:rsid w:val="00B36E70"/>
    <w:rsid w:val="00B37324"/>
    <w:rsid w:val="00B432DA"/>
    <w:rsid w:val="00B43D50"/>
    <w:rsid w:val="00B46C81"/>
    <w:rsid w:val="00B46CDC"/>
    <w:rsid w:val="00B5448F"/>
    <w:rsid w:val="00B564CB"/>
    <w:rsid w:val="00B572F4"/>
    <w:rsid w:val="00B57378"/>
    <w:rsid w:val="00B60537"/>
    <w:rsid w:val="00B61529"/>
    <w:rsid w:val="00B63AF4"/>
    <w:rsid w:val="00B645BF"/>
    <w:rsid w:val="00B66F43"/>
    <w:rsid w:val="00B67A21"/>
    <w:rsid w:val="00B67A8C"/>
    <w:rsid w:val="00B7369B"/>
    <w:rsid w:val="00B75235"/>
    <w:rsid w:val="00B8024B"/>
    <w:rsid w:val="00B80C46"/>
    <w:rsid w:val="00B8128B"/>
    <w:rsid w:val="00B84D78"/>
    <w:rsid w:val="00B85857"/>
    <w:rsid w:val="00B866A0"/>
    <w:rsid w:val="00B920BF"/>
    <w:rsid w:val="00B94463"/>
    <w:rsid w:val="00BA1FB9"/>
    <w:rsid w:val="00BB6B1C"/>
    <w:rsid w:val="00BC6173"/>
    <w:rsid w:val="00BC6F55"/>
    <w:rsid w:val="00BC712A"/>
    <w:rsid w:val="00BD45FC"/>
    <w:rsid w:val="00BD5236"/>
    <w:rsid w:val="00BD574C"/>
    <w:rsid w:val="00BD5805"/>
    <w:rsid w:val="00BD7109"/>
    <w:rsid w:val="00BD7511"/>
    <w:rsid w:val="00BE36DB"/>
    <w:rsid w:val="00BF6A74"/>
    <w:rsid w:val="00BF7EA7"/>
    <w:rsid w:val="00C13D40"/>
    <w:rsid w:val="00C13F42"/>
    <w:rsid w:val="00C17FA3"/>
    <w:rsid w:val="00C2220D"/>
    <w:rsid w:val="00C24C8E"/>
    <w:rsid w:val="00C31FD3"/>
    <w:rsid w:val="00C3752A"/>
    <w:rsid w:val="00C410E6"/>
    <w:rsid w:val="00C465E0"/>
    <w:rsid w:val="00C47288"/>
    <w:rsid w:val="00C53669"/>
    <w:rsid w:val="00C60DB5"/>
    <w:rsid w:val="00C66D85"/>
    <w:rsid w:val="00C7106D"/>
    <w:rsid w:val="00C77106"/>
    <w:rsid w:val="00C77557"/>
    <w:rsid w:val="00C8050B"/>
    <w:rsid w:val="00C80BD2"/>
    <w:rsid w:val="00C8523F"/>
    <w:rsid w:val="00C85A37"/>
    <w:rsid w:val="00C91E3D"/>
    <w:rsid w:val="00C95643"/>
    <w:rsid w:val="00C96372"/>
    <w:rsid w:val="00C97506"/>
    <w:rsid w:val="00C97EA5"/>
    <w:rsid w:val="00CA527A"/>
    <w:rsid w:val="00CA66B4"/>
    <w:rsid w:val="00CA6F79"/>
    <w:rsid w:val="00CB077F"/>
    <w:rsid w:val="00CB09CC"/>
    <w:rsid w:val="00CB3551"/>
    <w:rsid w:val="00CB5961"/>
    <w:rsid w:val="00CB7275"/>
    <w:rsid w:val="00CC3B07"/>
    <w:rsid w:val="00CC6A70"/>
    <w:rsid w:val="00CD0ABD"/>
    <w:rsid w:val="00CD142E"/>
    <w:rsid w:val="00CD1B40"/>
    <w:rsid w:val="00CD34B7"/>
    <w:rsid w:val="00CE0B0D"/>
    <w:rsid w:val="00CF04F9"/>
    <w:rsid w:val="00CF1114"/>
    <w:rsid w:val="00CF4DCC"/>
    <w:rsid w:val="00CF4DD9"/>
    <w:rsid w:val="00D00826"/>
    <w:rsid w:val="00D1006B"/>
    <w:rsid w:val="00D11654"/>
    <w:rsid w:val="00D1226E"/>
    <w:rsid w:val="00D15BD4"/>
    <w:rsid w:val="00D16918"/>
    <w:rsid w:val="00D21885"/>
    <w:rsid w:val="00D22299"/>
    <w:rsid w:val="00D227A0"/>
    <w:rsid w:val="00D240C4"/>
    <w:rsid w:val="00D24984"/>
    <w:rsid w:val="00D24DA1"/>
    <w:rsid w:val="00D264C9"/>
    <w:rsid w:val="00D27230"/>
    <w:rsid w:val="00D421D7"/>
    <w:rsid w:val="00D4528D"/>
    <w:rsid w:val="00D458B9"/>
    <w:rsid w:val="00D5044E"/>
    <w:rsid w:val="00D545E0"/>
    <w:rsid w:val="00D570EF"/>
    <w:rsid w:val="00D60067"/>
    <w:rsid w:val="00D61081"/>
    <w:rsid w:val="00D61D29"/>
    <w:rsid w:val="00D61E52"/>
    <w:rsid w:val="00D62B4E"/>
    <w:rsid w:val="00D65011"/>
    <w:rsid w:val="00D65C8A"/>
    <w:rsid w:val="00D6675D"/>
    <w:rsid w:val="00D70B62"/>
    <w:rsid w:val="00D7187F"/>
    <w:rsid w:val="00D744A0"/>
    <w:rsid w:val="00D74555"/>
    <w:rsid w:val="00D752AD"/>
    <w:rsid w:val="00D80AFA"/>
    <w:rsid w:val="00D83313"/>
    <w:rsid w:val="00D86125"/>
    <w:rsid w:val="00D91419"/>
    <w:rsid w:val="00D92494"/>
    <w:rsid w:val="00D9489D"/>
    <w:rsid w:val="00DA0209"/>
    <w:rsid w:val="00DA13C4"/>
    <w:rsid w:val="00DA3363"/>
    <w:rsid w:val="00DA4168"/>
    <w:rsid w:val="00DB4969"/>
    <w:rsid w:val="00DB6EAF"/>
    <w:rsid w:val="00DB7232"/>
    <w:rsid w:val="00DC2F95"/>
    <w:rsid w:val="00DC57F4"/>
    <w:rsid w:val="00DC6025"/>
    <w:rsid w:val="00DD5365"/>
    <w:rsid w:val="00DF0BAC"/>
    <w:rsid w:val="00DF299E"/>
    <w:rsid w:val="00DF5679"/>
    <w:rsid w:val="00DF6008"/>
    <w:rsid w:val="00E013BF"/>
    <w:rsid w:val="00E04DFF"/>
    <w:rsid w:val="00E052BF"/>
    <w:rsid w:val="00E07867"/>
    <w:rsid w:val="00E10B88"/>
    <w:rsid w:val="00E10DAD"/>
    <w:rsid w:val="00E14D64"/>
    <w:rsid w:val="00E25CD9"/>
    <w:rsid w:val="00E279B1"/>
    <w:rsid w:val="00E27C6F"/>
    <w:rsid w:val="00E3188F"/>
    <w:rsid w:val="00E34022"/>
    <w:rsid w:val="00E347C2"/>
    <w:rsid w:val="00E366EA"/>
    <w:rsid w:val="00E4246B"/>
    <w:rsid w:val="00E46865"/>
    <w:rsid w:val="00E54E03"/>
    <w:rsid w:val="00E552A0"/>
    <w:rsid w:val="00E65EB5"/>
    <w:rsid w:val="00E66A9F"/>
    <w:rsid w:val="00E66FE1"/>
    <w:rsid w:val="00E732F2"/>
    <w:rsid w:val="00E76A54"/>
    <w:rsid w:val="00E82E7E"/>
    <w:rsid w:val="00E86089"/>
    <w:rsid w:val="00E96BC9"/>
    <w:rsid w:val="00EA080E"/>
    <w:rsid w:val="00EA497A"/>
    <w:rsid w:val="00EA52B5"/>
    <w:rsid w:val="00EA5948"/>
    <w:rsid w:val="00EA594D"/>
    <w:rsid w:val="00EB193B"/>
    <w:rsid w:val="00EC1B20"/>
    <w:rsid w:val="00ED074E"/>
    <w:rsid w:val="00ED0DFB"/>
    <w:rsid w:val="00ED0F05"/>
    <w:rsid w:val="00ED166B"/>
    <w:rsid w:val="00ED2C73"/>
    <w:rsid w:val="00ED343D"/>
    <w:rsid w:val="00ED426D"/>
    <w:rsid w:val="00ED4C8B"/>
    <w:rsid w:val="00ED76FB"/>
    <w:rsid w:val="00EE1345"/>
    <w:rsid w:val="00EE3374"/>
    <w:rsid w:val="00EE4E04"/>
    <w:rsid w:val="00EE525F"/>
    <w:rsid w:val="00EE57B7"/>
    <w:rsid w:val="00EE789C"/>
    <w:rsid w:val="00EE7E80"/>
    <w:rsid w:val="00EF1AB9"/>
    <w:rsid w:val="00EF4779"/>
    <w:rsid w:val="00EF6208"/>
    <w:rsid w:val="00F0105D"/>
    <w:rsid w:val="00F02EF8"/>
    <w:rsid w:val="00F073EC"/>
    <w:rsid w:val="00F11F54"/>
    <w:rsid w:val="00F14DF8"/>
    <w:rsid w:val="00F15A22"/>
    <w:rsid w:val="00F1761E"/>
    <w:rsid w:val="00F1793E"/>
    <w:rsid w:val="00F2059F"/>
    <w:rsid w:val="00F221DB"/>
    <w:rsid w:val="00F27359"/>
    <w:rsid w:val="00F27879"/>
    <w:rsid w:val="00F37FD2"/>
    <w:rsid w:val="00F40E1B"/>
    <w:rsid w:val="00F422E4"/>
    <w:rsid w:val="00F42BB1"/>
    <w:rsid w:val="00F43FC3"/>
    <w:rsid w:val="00F45778"/>
    <w:rsid w:val="00F50A6C"/>
    <w:rsid w:val="00F54DB6"/>
    <w:rsid w:val="00F55F0C"/>
    <w:rsid w:val="00F5644A"/>
    <w:rsid w:val="00F57E4B"/>
    <w:rsid w:val="00F60BF8"/>
    <w:rsid w:val="00F641C8"/>
    <w:rsid w:val="00F72D74"/>
    <w:rsid w:val="00F74FB3"/>
    <w:rsid w:val="00F82301"/>
    <w:rsid w:val="00F8452D"/>
    <w:rsid w:val="00F84F9C"/>
    <w:rsid w:val="00F853A5"/>
    <w:rsid w:val="00F87EED"/>
    <w:rsid w:val="00F95AF4"/>
    <w:rsid w:val="00F9720E"/>
    <w:rsid w:val="00FA0DD8"/>
    <w:rsid w:val="00FA41B5"/>
    <w:rsid w:val="00FA6049"/>
    <w:rsid w:val="00FA6D66"/>
    <w:rsid w:val="00FB1EEB"/>
    <w:rsid w:val="00FB23E8"/>
    <w:rsid w:val="00FB4938"/>
    <w:rsid w:val="00FB7D03"/>
    <w:rsid w:val="00FC3272"/>
    <w:rsid w:val="00FC42F3"/>
    <w:rsid w:val="00FC625F"/>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7049-B473-43AB-8C1A-3CDE7613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8005</Words>
  <Characters>45629</Characters>
  <Application>Microsoft Office Word</Application>
  <DocSecurity>0</DocSecurity>
  <Lines>380</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2019-06-25T07:04:00Z</cp:lastPrinted>
  <dcterms:created xsi:type="dcterms:W3CDTF">2019-06-28T07:48:00Z</dcterms:created>
  <dcterms:modified xsi:type="dcterms:W3CDTF">2019-06-28T07:48:00Z</dcterms:modified>
</cp:coreProperties>
</file>